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宁夏回族自治区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val="en-US" w:eastAsia="zh-Hans"/>
          <w14:textFill>
            <w14:solidFill>
              <w14:schemeClr w14:val="tx1"/>
            </w14:solidFill>
          </w14:textFill>
        </w:rPr>
        <w:t>政协</w:t>
      </w:r>
    </w:p>
    <w:p>
      <w:pPr>
        <w:jc w:val="center"/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color w:val="000000" w:themeColor="text1"/>
          <w:sz w:val="36"/>
          <w:szCs w:val="36"/>
          <w:lang w:val="en-US" w:eastAsia="zh-Hans"/>
          <w14:textFill>
            <w14:solidFill>
              <w14:schemeClr w14:val="tx1"/>
            </w14:solidFill>
          </w14:textFill>
        </w:rPr>
        <w:t>十一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val="en-US" w:eastAsia="zh-Hans"/>
          <w14:textFill>
            <w14:solidFill>
              <w14:schemeClr w14:val="tx1"/>
            </w14:solidFill>
          </w14:textFill>
        </w:rPr>
        <w:t>届</w:t>
      </w:r>
      <w:r>
        <w:rPr>
          <w:rFonts w:hint="default" w:ascii="宋体" w:hAnsi="宋体" w:eastAsia="宋体" w:cs="宋体"/>
          <w:b/>
          <w:bCs/>
          <w:color w:val="000000" w:themeColor="text1"/>
          <w:sz w:val="36"/>
          <w:szCs w:val="36"/>
          <w:lang w:val="en-US" w:eastAsia="zh-Hans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val="en-US" w:eastAsia="zh-Hans"/>
          <w14:textFill>
            <w14:solidFill>
              <w14:schemeClr w14:val="tx1"/>
            </w14:solidFill>
          </w14:textFill>
        </w:rPr>
        <w:t>次会议第</w:t>
      </w:r>
      <w:r>
        <w:rPr>
          <w:rFonts w:hint="default" w:ascii="宋体" w:hAnsi="宋体" w:eastAsia="宋体" w:cs="宋体"/>
          <w:b/>
          <w:bCs/>
          <w:color w:val="000000" w:themeColor="text1"/>
          <w:sz w:val="36"/>
          <w:szCs w:val="36"/>
          <w:lang w:val="en-US" w:eastAsia="zh-Hans"/>
          <w14:textFill>
            <w14:solidFill>
              <w14:schemeClr w14:val="tx1"/>
            </w14:solidFill>
          </w14:textFill>
        </w:rPr>
        <w:t>133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val="en-US" w:eastAsia="zh-Hans"/>
          <w14:textFill>
            <w14:solidFill>
              <w14:schemeClr w14:val="tx1"/>
            </w14:solidFill>
          </w14:textFill>
        </w:rPr>
        <w:t>号提案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2272"/>
        <w:gridCol w:w="1643"/>
        <w:gridCol w:w="2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Hans"/>
              </w:rPr>
              <w:t>提案类型</w:t>
            </w:r>
          </w:p>
        </w:tc>
        <w:tc>
          <w:tcPr>
            <w:tcW w:w="67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个人提案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Hans"/>
              </w:rPr>
              <w:t>案由</w:t>
            </w:r>
          </w:p>
        </w:tc>
        <w:tc>
          <w:tcPr>
            <w:tcW w:w="67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关于开展适龄女性免费接种HPV疫苗试点工作的提案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Hans"/>
              </w:rPr>
              <w:t>第一提案人</w:t>
            </w: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吕玉兰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Hans"/>
              </w:rPr>
              <w:t>联系电话</w:t>
            </w:r>
          </w:p>
        </w:tc>
        <w:tc>
          <w:tcPr>
            <w:tcW w:w="2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13739556099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Hans"/>
              </w:rPr>
              <w:t>提案日期</w:t>
            </w:r>
          </w:p>
        </w:tc>
        <w:tc>
          <w:tcPr>
            <w:tcW w:w="67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2021-01-22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Hans"/>
              </w:rPr>
              <w:t>主办单位</w:t>
            </w:r>
          </w:p>
        </w:tc>
        <w:tc>
          <w:tcPr>
            <w:tcW w:w="67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Hans"/>
              </w:rPr>
              <w:t>协办单位</w:t>
            </w:r>
          </w:p>
        </w:tc>
        <w:tc>
          <w:tcPr>
            <w:tcW w:w="6776" w:type="dxa"/>
            <w:gridSpan w:val="3"/>
            <w:vAlign w:val="center"/>
          </w:tcPr>
          <w:tbl>
            <w:tblPr>
              <w:tblW w:w="8640" w:type="dxa"/>
              <w:tblInd w:w="0" w:type="dxa"/>
              <w:shd w:val="clear" w:color="auto" w:fill="FFFFFF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640"/>
            </w:tblGrid>
            <w:tr>
              <w:tblPrEx>
                <w:shd w:val="clear" w:color="auto" w:fill="FFFFFF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8640" w:type="dxa"/>
                  <w:tcBorders>
                    <w:top w:val="nil"/>
                    <w:left w:val="nil"/>
                    <w:bottom w:val="single" w:color="E6E6E6" w:sz="6" w:space="0"/>
                    <w:right w:val="single" w:color="E6E6E6" w:sz="6" w:space="0"/>
                  </w:tcBorders>
                  <w:shd w:val="clear" w:color="auto" w:fill="FFFFFF"/>
                  <w:tcMar>
                    <w:top w:w="75" w:type="dxa"/>
                    <w:bottom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/>
                    <w:jc w:val="both"/>
                    <w:textAlignment w:val="auto"/>
                    <w:rPr>
                      <w:rFonts w:hint="eastAsia" w:ascii="宋体" w:hAnsi="宋体" w:eastAsia="宋体" w:cs="宋体"/>
                      <w:kern w:val="0"/>
                      <w:sz w:val="30"/>
                      <w:szCs w:val="30"/>
                    </w:rPr>
                  </w:pPr>
                  <w:r>
                    <w:rPr>
                      <w:rFonts w:hint="default" w:ascii="宋体" w:hAnsi="宋体" w:eastAsia="宋体" w:cs="宋体"/>
                      <w:kern w:val="0"/>
                      <w:sz w:val="30"/>
                      <w:szCs w:val="30"/>
                      <w:lang w:val="en-US" w:eastAsia="zh-CN"/>
                    </w:rPr>
                    <w:br w:type="textWrapping"/>
                  </w:r>
                  <w:r>
                    <w:rPr>
                      <w:rFonts w:hint="default" w:ascii="宋体" w:hAnsi="宋体" w:eastAsia="宋体" w:cs="宋体"/>
                      <w:kern w:val="0"/>
                      <w:sz w:val="30"/>
                      <w:szCs w:val="30"/>
                      <w:lang w:val="en-US" w:eastAsia="zh-CN"/>
                    </w:rPr>
                    <w:t>财政厅</w:t>
                  </w:r>
                  <w:bookmarkStart w:id="0" w:name="_GoBack"/>
                  <w:bookmarkEnd w:id="0"/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医疗保障局,</w:t>
            </w:r>
          </w:p>
        </w:tc>
      </w:tr>
    </w:tbl>
    <w:p>
      <w:pPr>
        <w:rPr>
          <w:rFonts w:hint="eastAsia"/>
          <w:sz w:val="30"/>
          <w:szCs w:val="30"/>
          <w:lang w:val="en-US" w:eastAsia="zh-Hans"/>
        </w:rPr>
      </w:pPr>
      <w:r>
        <w:rPr>
          <w:rFonts w:hint="eastAsia"/>
          <w:sz w:val="30"/>
          <w:szCs w:val="30"/>
          <w:lang w:val="en-US" w:eastAsia="zh-Hans"/>
        </w:rPr>
        <w:br w:type="page"/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4216"/>
        <w:gridCol w:w="3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Hans"/>
              </w:rPr>
              <w:t>意见建议</w:t>
            </w:r>
          </w:p>
        </w:tc>
        <w:tc>
          <w:tcPr>
            <w:tcW w:w="37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Hans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47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00" w:firstLineChars="200"/>
              <w:jc w:val="both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Hans"/>
              </w:rPr>
              <w:t>率先开展适龄女性免费接种HPV疫苗试点工作。</w:t>
            </w:r>
          </w:p>
        </w:tc>
        <w:tc>
          <w:tcPr>
            <w:tcW w:w="3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00" w:firstLineChars="200"/>
              <w:jc w:val="both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Hans"/>
              </w:rPr>
              <w:t>结合全区经济发展及人口分布等要素，选择合适的县（区）或领域，由自治区财政支持采购疫苗，采取自愿免费接种的原则。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47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00" w:firstLineChars="200"/>
              <w:jc w:val="both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Hans"/>
              </w:rPr>
              <w:t>探索将部分自费疫苗纳入医保支付范围，鼓励地方先行探索将HPV疫苗纳入医保。</w:t>
            </w:r>
          </w:p>
        </w:tc>
        <w:tc>
          <w:tcPr>
            <w:tcW w:w="3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00" w:firstLineChars="200"/>
              <w:jc w:val="both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47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00" w:firstLineChars="200"/>
              <w:jc w:val="both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Hans"/>
              </w:rPr>
              <w:t>加强HPV疫苗相关知识的科普宣传和教育。</w:t>
            </w:r>
          </w:p>
        </w:tc>
        <w:tc>
          <w:tcPr>
            <w:tcW w:w="3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00" w:firstLineChars="200"/>
              <w:jc w:val="both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Hans"/>
              </w:rPr>
              <w:t>做好宫颈癌防治的宣传工作，引导群众科学接种HPV疫苗，有效降低宫颈癌疾病对于女性的威胁。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4" w:hRule="atLeast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Hans"/>
              </w:rPr>
              <w:t>背景材料</w:t>
            </w:r>
          </w:p>
        </w:tc>
        <w:tc>
          <w:tcPr>
            <w:tcW w:w="80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00" w:firstLineChars="200"/>
              <w:jc w:val="both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Hans"/>
              </w:rPr>
              <w:t>宫颈癌在女性恶性肿瘤中发病率位居第二，严重威胁着广大女性的身心健康。宫颈癌及癌前病变与HPV感染密切相关，99%以上的宫颈癌病例与生殖系统的HPV感染有关。据资料显示：我国每年新增病例约13.5万，其中8万人因此死亡，数量逐年呈上升趋势，且有年轻化趋向。尽管宫颈癌最常见且危害较大，但目前也是唯一病因明确的癌症，且有药物可以提前预防。接种疫苗预防HPV感染可有效预防宫颈癌，已成为全社会广泛共识。为有效预防宫颈癌，切实关爱女性健康，稳步推进健康宁夏建设，进一步提升群众获得感、幸福感。</w:t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Hans"/>
              </w:rPr>
              <w:br w:type="textWrapping"/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Hans"/>
              </w:rPr>
              <w:t xml:space="preserve">    </w:t>
            </w:r>
          </w:p>
        </w:tc>
      </w:tr>
    </w:tbl>
    <w:p>
      <w:pPr>
        <w:rPr>
          <w:rFonts w:hint="eastAsia"/>
          <w:sz w:val="30"/>
          <w:szCs w:val="30"/>
          <w:lang w:val="en-US" w:eastAsia="zh-Hans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DF6289"/>
    <w:rsid w:val="0C021D69"/>
    <w:rsid w:val="11C55175"/>
    <w:rsid w:val="147214DB"/>
    <w:rsid w:val="192F1400"/>
    <w:rsid w:val="1DBF7528"/>
    <w:rsid w:val="20685F27"/>
    <w:rsid w:val="21BF3425"/>
    <w:rsid w:val="22BA0A3B"/>
    <w:rsid w:val="2BEB4E8C"/>
    <w:rsid w:val="2E4D6A32"/>
    <w:rsid w:val="36106D62"/>
    <w:rsid w:val="39863694"/>
    <w:rsid w:val="39B92D5C"/>
    <w:rsid w:val="3ABF00A0"/>
    <w:rsid w:val="3B9E439E"/>
    <w:rsid w:val="3FDF6289"/>
    <w:rsid w:val="47A142A5"/>
    <w:rsid w:val="488604B3"/>
    <w:rsid w:val="48B84069"/>
    <w:rsid w:val="4FF95A47"/>
    <w:rsid w:val="559A7C5D"/>
    <w:rsid w:val="57C93034"/>
    <w:rsid w:val="60D349E0"/>
    <w:rsid w:val="669A162D"/>
    <w:rsid w:val="6D4721D2"/>
    <w:rsid w:val="73224BA9"/>
    <w:rsid w:val="75F1226E"/>
    <w:rsid w:val="778222EB"/>
    <w:rsid w:val="79276FB7"/>
    <w:rsid w:val="7C5E22F1"/>
    <w:rsid w:val="7EF01E27"/>
    <w:rsid w:val="97F21391"/>
    <w:rsid w:val="FB4F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2020-09-18T11:56:00Z</dcterms:created>
  <dc:creator>tankaizhong</dc:creator>
  <cp:lastModifiedBy>刘伟</cp:lastModifiedBy>
  <dcterms:modified xsi:type="dcterms:W3CDTF">2021-04-19T07:30:29Z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2052-11.3.0.8742</vt:lpwstr>
  </property>
</Properties>
</file>