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i w:val="0"/>
          <w:color w:val="000000"/>
          <w:spacing w:val="34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spacing w:val="34"/>
          <w:kern w:val="0"/>
          <w:sz w:val="30"/>
          <w:szCs w:val="30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34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pacing w:val="34"/>
          <w:kern w:val="0"/>
          <w:sz w:val="36"/>
          <w:szCs w:val="36"/>
          <w:u w:val="none"/>
          <w:lang w:val="en-US" w:eastAsia="zh-CN" w:bidi="ar"/>
        </w:rPr>
        <w:t>2020年第二季度政务信息报送采用统计表</w:t>
      </w:r>
    </w:p>
    <w:bookmarkEnd w:id="0"/>
    <w:tbl>
      <w:tblPr>
        <w:tblStyle w:val="3"/>
        <w:tblW w:w="0" w:type="auto"/>
        <w:tblInd w:w="-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1004"/>
        <w:gridCol w:w="1003"/>
        <w:gridCol w:w="2396"/>
        <w:gridCol w:w="735"/>
        <w:gridCol w:w="1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上报数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（条）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采用数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（条）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上报数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（条）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采用数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457" w:type="dxa"/>
            <w:gridSpan w:val="6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局处室、中心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待遇保障处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医药服务管理处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医药价格和招标采购处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基金监管处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机关党委（人事处）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经办服务中心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监控信息中心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457" w:type="dxa"/>
            <w:gridSpan w:val="6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五市医疗保障局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银川市医疗保障局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石嘴山市医疗保障局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吴忠市医疗保障局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固原市医疗保障局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（固原市社保中心）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中卫市医疗保障局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457" w:type="dxa"/>
            <w:gridSpan w:val="6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各县（区）医疗保障局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金凤区医疗保障局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兴庆区医疗保障局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西夏区医疗保障局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永宁县医疗保障局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贺兰县医疗保障局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灵武市医疗保障局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大武口区医疗保障局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惠农区医疗保障局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吴忠市利通区医疗保障局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盐池县医疗保障局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73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同心县医疗保障局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青铜峡市医疗保障局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红寺堡医疗保障局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原州区医疗保障局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隆德县医疗保障局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彭阳县医疗保障局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海原县医疗保障局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沙坡头区医疗保障局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宁东管委会社会事务局（宁东基地社会保险事业管理中心）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1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  <w:tc>
          <w:tcPr>
            <w:tcW w:w="6331" w:type="dxa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统计以报送邮箱信息为准</w:t>
            </w:r>
          </w:p>
        </w:tc>
      </w:tr>
    </w:tbl>
    <w:p/>
    <w:p>
      <w:pPr>
        <w:pStyle w:val="2"/>
        <w:bidi w:val="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5318C"/>
    <w:rsid w:val="41D5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2020-08-20T10:56:00Z</dcterms:created>
  <dc:creator>蜕变</dc:creator>
  <cp:lastModifiedBy>蜕变</cp:lastModifiedBy>
  <dcterms:modified xsi:type="dcterms:W3CDTF">2020-08-20T10:56:44Z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