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jc w:val="both"/>
        <w:rPr>
          <w:rFonts w:ascii="Times New Roman"/>
          <w:color w:val="000000" w:themeColor="text1"/>
          <w:sz w:val="10"/>
          <w14:textFill>
            <w14:solidFill>
              <w14:schemeClr w14:val="tx1"/>
            </w14:solidFill>
          </w14:textFill>
        </w:rPr>
      </w:pPr>
    </w:p>
    <w:p>
      <w:pPr>
        <w:ind w:left="0"/>
        <w:jc w:val="both"/>
        <w:rPr>
          <w:rFonts w:ascii="黑体" w:hAnsi="黑体" w:eastAsia="黑体"/>
          <w:color w:val="000000" w:themeColor="text1"/>
          <w:sz w:val="32"/>
          <w14:textFill>
            <w14:solidFill>
              <w14:schemeClr w14:val="tx1"/>
            </w14:solidFill>
          </w14:textFill>
        </w:rPr>
      </w:pPr>
      <w:bookmarkStart w:id="0" w:name="附件3"/>
      <w:bookmarkEnd w:id="0"/>
      <w:r>
        <w:rPr>
          <w:rFonts w:ascii="黑体" w:hAnsi="黑体" w:eastAsia="黑体"/>
          <w:color w:val="000000" w:themeColor="text1"/>
          <w:sz w:val="32"/>
          <w14:textFill>
            <w14:solidFill>
              <w14:schemeClr w14:val="tx1"/>
            </w14:solidFill>
          </w14:textFill>
        </w:rPr>
        <w:t>附件3</w:t>
      </w:r>
    </w:p>
    <w:p>
      <w:pPr>
        <w:pStyle w:val="4"/>
        <w:ind w:left="0"/>
        <w:jc w:val="both"/>
        <w:rPr>
          <w:rFonts w:ascii="黑体" w:hAnsi="黑体" w:eastAsia="黑体"/>
          <w:color w:val="000000" w:themeColor="text1"/>
          <w:sz w:val="20"/>
          <w14:textFill>
            <w14:solidFill>
              <w14:schemeClr w14:val="tx1"/>
            </w14:solidFill>
          </w14:textFill>
        </w:rPr>
      </w:pPr>
    </w:p>
    <w:p>
      <w:pPr>
        <w:pStyle w:val="4"/>
        <w:ind w:left="0"/>
        <w:jc w:val="both"/>
        <w:rPr>
          <w:rFonts w:ascii="黑体" w:hAnsi="黑体" w:eastAsia="黑体"/>
          <w:color w:val="000000" w:themeColor="text1"/>
          <w:sz w:val="17"/>
          <w14:textFill>
            <w14:solidFill>
              <w14:schemeClr w14:val="tx1"/>
            </w14:solidFill>
          </w14:textFill>
        </w:rPr>
      </w:pPr>
    </w:p>
    <w:p>
      <w:pPr>
        <w:spacing w:line="254" w:lineRule="auto"/>
        <w:ind w:left="1492" w:right="1773"/>
        <w:jc w:val="center"/>
        <w:rPr>
          <w:rFonts w:hint="eastAsia" w:ascii="黑体" w:hAnsi="黑体" w:eastAsia="黑体"/>
          <w:color w:val="000000" w:themeColor="text1"/>
          <w:sz w:val="36"/>
          <w:lang w:eastAsia="zh-CN"/>
          <w14:textFill>
            <w14:solidFill>
              <w14:schemeClr w14:val="tx1"/>
            </w14:solidFill>
          </w14:textFill>
        </w:rPr>
      </w:pPr>
      <w:bookmarkStart w:id="1" w:name="宁夏回族自治区国家组织药品集中采购"/>
      <w:bookmarkEnd w:id="1"/>
      <w:r>
        <w:rPr>
          <w:rFonts w:ascii="黑体" w:hAnsi="黑体" w:eastAsia="黑体"/>
          <w:color w:val="000000" w:themeColor="text1"/>
          <w:sz w:val="36"/>
          <w14:textFill>
            <w14:solidFill>
              <w14:schemeClr w14:val="tx1"/>
            </w14:solidFill>
          </w14:textFill>
        </w:rPr>
        <w:t>宁夏回族自治区国家组织药品集中采购</w:t>
      </w:r>
      <w:bookmarkStart w:id="2" w:name="中选药品购销三方协议"/>
      <w:bookmarkEnd w:id="2"/>
      <w:r>
        <w:rPr>
          <w:rFonts w:ascii="黑体" w:hAnsi="黑体" w:eastAsia="黑体"/>
          <w:color w:val="000000" w:themeColor="text1"/>
          <w:sz w:val="36"/>
          <w14:textFill>
            <w14:solidFill>
              <w14:schemeClr w14:val="tx1"/>
            </w14:solidFill>
          </w14:textFill>
        </w:rPr>
        <w:t>中选药品购销三方</w:t>
      </w:r>
      <w:r>
        <w:rPr>
          <w:rFonts w:hint="eastAsia" w:ascii="黑体" w:hAnsi="黑体" w:eastAsia="黑体"/>
          <w:color w:val="000000" w:themeColor="text1"/>
          <w:sz w:val="36"/>
          <w:lang w:eastAsia="zh-CN"/>
          <w14:textFill>
            <w14:solidFill>
              <w14:schemeClr w14:val="tx1"/>
            </w14:solidFill>
          </w14:textFill>
        </w:rPr>
        <w:t>合同</w:t>
      </w:r>
    </w:p>
    <w:p>
      <w:pPr>
        <w:pStyle w:val="4"/>
        <w:ind w:left="0"/>
        <w:jc w:val="both"/>
        <w:rPr>
          <w:color w:val="000000" w:themeColor="text1"/>
          <w:sz w:val="44"/>
          <w14:textFill>
            <w14:solidFill>
              <w14:schemeClr w14:val="tx1"/>
            </w14:solidFill>
          </w14:textFill>
        </w:rPr>
      </w:pPr>
    </w:p>
    <w:p>
      <w:pPr>
        <w:pStyle w:val="4"/>
        <w:tabs>
          <w:tab w:val="left" w:pos="3501"/>
        </w:tabs>
        <w:ind w:left="0" w:right="279"/>
        <w:jc w:val="center"/>
        <w:rPr>
          <w:rFonts w:ascii="黑体" w:hAnsi="黑体" w:eastAsia="黑体" w:cs="黑体"/>
          <w:color w:val="000000" w:themeColor="text1"/>
          <w14:textFill>
            <w14:solidFill>
              <w14:schemeClr w14:val="tx1"/>
            </w14:solidFill>
          </w14:textFill>
        </w:rPr>
      </w:pPr>
      <w:bookmarkStart w:id="3" w:name="（协议编号：GJ-__________）"/>
      <w:bookmarkEnd w:id="3"/>
      <w:r>
        <w:rPr>
          <w:rFonts w:hint="eastAsia" w:ascii="黑体" w:hAnsi="黑体" w:eastAsia="黑体" w:cs="黑体"/>
          <w:color w:val="000000" w:themeColor="text1"/>
          <w14:textFill>
            <w14:solidFill>
              <w14:schemeClr w14:val="tx1"/>
            </w14:solidFill>
          </w14:textFill>
        </w:rPr>
        <w:t>（协</w:t>
      </w:r>
      <w:r>
        <w:rPr>
          <w:rFonts w:hint="eastAsia" w:ascii="黑体" w:hAnsi="黑体" w:eastAsia="黑体" w:cs="黑体"/>
          <w:color w:val="000000" w:themeColor="text1"/>
          <w:spacing w:val="-3"/>
          <w14:textFill>
            <w14:solidFill>
              <w14:schemeClr w14:val="tx1"/>
            </w14:solidFill>
          </w14:textFill>
        </w:rPr>
        <w:t>议</w:t>
      </w:r>
      <w:r>
        <w:rPr>
          <w:rFonts w:hint="eastAsia" w:ascii="黑体" w:hAnsi="黑体" w:eastAsia="黑体" w:cs="黑体"/>
          <w:color w:val="000000" w:themeColor="text1"/>
          <w14:textFill>
            <w14:solidFill>
              <w14:schemeClr w14:val="tx1"/>
            </w14:solidFill>
          </w14:textFill>
        </w:rPr>
        <w:t>编号：GJ-</w:t>
      </w:r>
      <w:r>
        <w:rPr>
          <w:rFonts w:hint="eastAsia" w:ascii="黑体" w:hAnsi="黑体" w:eastAsia="黑体" w:cs="黑体"/>
          <w:color w:val="000000" w:themeColor="text1"/>
          <w:u w:val="single"/>
          <w14:textFill>
            <w14:solidFill>
              <w14:schemeClr w14:val="tx1"/>
            </w14:solidFill>
          </w14:textFill>
        </w:rPr>
        <w:t xml:space="preserve"> </w:t>
      </w:r>
      <w:r>
        <w:rPr>
          <w:rFonts w:hint="eastAsia" w:ascii="黑体" w:hAnsi="黑体" w:eastAsia="黑体" w:cs="黑体"/>
          <w:color w:val="000000" w:themeColor="text1"/>
          <w:u w:val="single"/>
          <w14:textFill>
            <w14:solidFill>
              <w14:schemeClr w14:val="tx1"/>
            </w14:solidFill>
          </w14:textFill>
        </w:rPr>
        <w:tab/>
      </w:r>
      <w:r>
        <w:rPr>
          <w:rFonts w:hint="eastAsia" w:ascii="黑体" w:hAnsi="黑体" w:eastAsia="黑体" w:cs="黑体"/>
          <w:color w:val="000000" w:themeColor="text1"/>
          <w14:textFill>
            <w14:solidFill>
              <w14:schemeClr w14:val="tx1"/>
            </w14:solidFill>
          </w14:textFill>
        </w:rPr>
        <w:t>）</w:t>
      </w:r>
    </w:p>
    <w:p>
      <w:pPr>
        <w:pStyle w:val="4"/>
        <w:ind w:left="0"/>
        <w:jc w:val="both"/>
        <w:rPr>
          <w:rFonts w:ascii="仿宋_GB2312" w:eastAsia="仿宋_GB2312"/>
          <w:color w:val="000000" w:themeColor="text1"/>
          <w:sz w:val="30"/>
          <w14:textFill>
            <w14:solidFill>
              <w14:schemeClr w14:val="tx1"/>
            </w14:solidFill>
          </w14:textFill>
        </w:rPr>
      </w:pPr>
    </w:p>
    <w:p>
      <w:pPr>
        <w:pStyle w:val="4"/>
        <w:spacing w:line="600" w:lineRule="auto"/>
        <w:ind w:left="0"/>
        <w:jc w:val="both"/>
        <w:rPr>
          <w:rFonts w:ascii="仿宋_GB2312" w:eastAsia="仿宋_GB2312"/>
          <w:color w:val="000000" w:themeColor="text1"/>
          <w:sz w:val="16"/>
          <w14:textFill>
            <w14:solidFill>
              <w14:schemeClr w14:val="tx1"/>
            </w14:solidFill>
          </w14:textFill>
        </w:rPr>
      </w:pPr>
      <w:r>
        <w:rPr>
          <w:rFonts w:hint="eastAsia" w:ascii="仿宋_GB2312" w:eastAsia="仿宋_GB2312"/>
          <w:color w:val="000000" w:themeColor="text1"/>
          <w:spacing w:val="-2"/>
          <w14:textFill>
            <w14:solidFill>
              <w14:schemeClr w14:val="tx1"/>
            </w14:solidFill>
          </w14:textFill>
        </w:rPr>
        <w:t>甲</w:t>
      </w:r>
      <w:r>
        <w:rPr>
          <w:rFonts w:hint="eastAsia" w:ascii="仿宋_GB2312" w:eastAsia="仿宋_GB2312"/>
          <w:color w:val="000000" w:themeColor="text1"/>
          <w:spacing w:val="-3"/>
          <w14:textFill>
            <w14:solidFill>
              <w14:schemeClr w14:val="tx1"/>
            </w14:solidFill>
          </w14:textFill>
        </w:rPr>
        <w:t>方</w:t>
      </w:r>
      <w:r>
        <w:rPr>
          <w:rFonts w:hint="eastAsia" w:ascii="仿宋_GB2312" w:eastAsia="仿宋_GB2312"/>
          <w:color w:val="000000" w:themeColor="text1"/>
          <w:spacing w:val="-1"/>
          <w14:textFill>
            <w14:solidFill>
              <w14:schemeClr w14:val="tx1"/>
            </w14:solidFill>
          </w14:textFill>
        </w:rPr>
        <w:t>：</w:t>
      </w:r>
      <w:r>
        <w:rPr>
          <w:rFonts w:hint="eastAsia" w:ascii="仿宋_GB2312" w:eastAsia="仿宋_GB2312"/>
          <w:color w:val="000000" w:themeColor="text1"/>
          <w:spacing w:val="-1"/>
          <w:u w:val="single"/>
          <w14:textFill>
            <w14:solidFill>
              <w14:schemeClr w14:val="tx1"/>
            </w14:solidFill>
          </w14:textFill>
        </w:rPr>
        <w:tab/>
      </w:r>
      <w:r>
        <w:rPr>
          <w:rFonts w:hint="eastAsia" w:ascii="仿宋_GB2312" w:eastAsia="仿宋_GB2312"/>
          <w:color w:val="000000" w:themeColor="text1"/>
          <w:spacing w:val="-1"/>
          <w:u w:val="single"/>
          <w14:textFill>
            <w14:solidFill>
              <w14:schemeClr w14:val="tx1"/>
            </w14:solidFill>
          </w14:textFill>
        </w:rPr>
        <w:t xml:space="preserve">                      </w:t>
      </w:r>
      <w:r>
        <w:rPr>
          <w:rFonts w:hint="eastAsia" w:ascii="仿宋_GB2312" w:eastAsia="仿宋_GB2312"/>
          <w:color w:val="000000" w:themeColor="text1"/>
          <w:spacing w:val="-1"/>
          <w:u w:val="single"/>
          <w:lang w:val="en-US"/>
          <w14:textFill>
            <w14:solidFill>
              <w14:schemeClr w14:val="tx1"/>
            </w14:solidFill>
          </w14:textFill>
        </w:rPr>
        <w:t xml:space="preserve"> </w:t>
      </w:r>
      <w:r>
        <w:rPr>
          <w:rFonts w:hint="eastAsia" w:ascii="仿宋_GB2312" w:eastAsia="仿宋_GB2312"/>
          <w:color w:val="000000" w:themeColor="text1"/>
          <w:spacing w:val="-1"/>
          <w:u w:val="single"/>
          <w14:textFill>
            <w14:solidFill>
              <w14:schemeClr w14:val="tx1"/>
            </w14:solidFill>
          </w14:textFill>
        </w:rPr>
        <w:t xml:space="preserve">             </w:t>
      </w:r>
      <w:r>
        <w:rPr>
          <w:rFonts w:hint="eastAsia" w:ascii="仿宋_GB2312" w:eastAsia="仿宋_GB2312"/>
          <w:color w:val="000000" w:themeColor="text1"/>
          <w:spacing w:val="35"/>
          <w:u w:val="single"/>
          <w14:textFill>
            <w14:solidFill>
              <w14:schemeClr w14:val="tx1"/>
            </w14:solidFill>
          </w14:textFill>
        </w:rPr>
        <w:t xml:space="preserve"> </w:t>
      </w:r>
    </w:p>
    <w:p>
      <w:pPr>
        <w:pStyle w:val="4"/>
        <w:spacing w:line="600" w:lineRule="auto"/>
        <w:ind w:left="0"/>
        <w:jc w:val="both"/>
        <w:rPr>
          <w:rFonts w:ascii="仿宋_GB2312" w:eastAsia="仿宋_GB2312"/>
          <w:color w:val="000000" w:themeColor="text1"/>
          <w:sz w:val="17"/>
          <w14:textFill>
            <w14:solidFill>
              <w14:schemeClr w14:val="tx1"/>
            </w14:solidFill>
          </w14:textFill>
        </w:rPr>
      </w:pPr>
      <w:r>
        <w:rPr>
          <w:rFonts w:hint="eastAsia" w:ascii="仿宋_GB2312" w:eastAsia="仿宋_GB2312"/>
          <w:color w:val="000000" w:themeColor="text1"/>
          <w:spacing w:val="-2"/>
          <w14:textFill>
            <w14:solidFill>
              <w14:schemeClr w14:val="tx1"/>
            </w14:solidFill>
          </w14:textFill>
        </w:rPr>
        <w:t>乙</w:t>
      </w:r>
      <w:r>
        <w:rPr>
          <w:rFonts w:hint="eastAsia" w:ascii="仿宋_GB2312" w:eastAsia="仿宋_GB2312"/>
          <w:color w:val="000000" w:themeColor="text1"/>
          <w:spacing w:val="-3"/>
          <w14:textFill>
            <w14:solidFill>
              <w14:schemeClr w14:val="tx1"/>
            </w14:solidFill>
          </w14:textFill>
        </w:rPr>
        <w:t>方</w:t>
      </w:r>
      <w:r>
        <w:rPr>
          <w:rFonts w:hint="eastAsia" w:ascii="仿宋_GB2312" w:eastAsia="仿宋_GB2312"/>
          <w:color w:val="000000" w:themeColor="text1"/>
          <w:spacing w:val="-1"/>
          <w14:textFill>
            <w14:solidFill>
              <w14:schemeClr w14:val="tx1"/>
            </w14:solidFill>
          </w14:textFill>
        </w:rPr>
        <w:t>：</w:t>
      </w:r>
      <w:r>
        <w:rPr>
          <w:rFonts w:hint="eastAsia" w:ascii="仿宋_GB2312" w:eastAsia="仿宋_GB2312"/>
          <w:color w:val="000000" w:themeColor="text1"/>
          <w:spacing w:val="-1"/>
          <w:u w:val="single"/>
          <w14:textFill>
            <w14:solidFill>
              <w14:schemeClr w14:val="tx1"/>
            </w14:solidFill>
          </w14:textFill>
        </w:rPr>
        <w:tab/>
      </w:r>
      <w:r>
        <w:rPr>
          <w:rFonts w:hint="eastAsia" w:ascii="仿宋_GB2312" w:eastAsia="仿宋_GB2312"/>
          <w:color w:val="000000" w:themeColor="text1"/>
          <w:spacing w:val="-1"/>
          <w:u w:val="single"/>
          <w14:textFill>
            <w14:solidFill>
              <w14:schemeClr w14:val="tx1"/>
            </w14:solidFill>
          </w14:textFill>
        </w:rPr>
        <w:t xml:space="preserve">                                   </w:t>
      </w:r>
      <w:r>
        <w:rPr>
          <w:rFonts w:hint="eastAsia" w:ascii="仿宋_GB2312" w:eastAsia="仿宋_GB2312"/>
          <w:color w:val="000000" w:themeColor="text1"/>
          <w:spacing w:val="35"/>
          <w:u w:val="single"/>
          <w14:textFill>
            <w14:solidFill>
              <w14:schemeClr w14:val="tx1"/>
            </w14:solidFill>
          </w14:textFill>
        </w:rPr>
        <w:t xml:space="preserve"> </w:t>
      </w:r>
    </w:p>
    <w:p>
      <w:pPr>
        <w:pStyle w:val="4"/>
        <w:tabs>
          <w:tab w:val="left" w:pos="8444"/>
        </w:tabs>
        <w:spacing w:line="600" w:lineRule="auto"/>
        <w:ind w:left="0" w:right="940"/>
        <w:jc w:val="both"/>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spacing w:val="-2"/>
          <w14:textFill>
            <w14:solidFill>
              <w14:schemeClr w14:val="tx1"/>
            </w14:solidFill>
          </w14:textFill>
        </w:rPr>
        <w:t>丙</w:t>
      </w:r>
      <w:r>
        <w:rPr>
          <w:rFonts w:hint="eastAsia" w:ascii="仿宋_GB2312" w:eastAsia="仿宋_GB2312"/>
          <w:color w:val="000000" w:themeColor="text1"/>
          <w:spacing w:val="-3"/>
          <w14:textFill>
            <w14:solidFill>
              <w14:schemeClr w14:val="tx1"/>
            </w14:solidFill>
          </w14:textFill>
        </w:rPr>
        <w:t>方：</w:t>
      </w:r>
      <w:r>
        <w:rPr>
          <w:rFonts w:hint="eastAsia" w:ascii="仿宋_GB2312" w:eastAsia="仿宋_GB2312"/>
          <w:color w:val="000000" w:themeColor="text1"/>
          <w:spacing w:val="-1"/>
          <w:u w:val="single"/>
          <w14:textFill>
            <w14:solidFill>
              <w14:schemeClr w14:val="tx1"/>
            </w14:solidFill>
          </w14:textFill>
        </w:rPr>
        <w:t xml:space="preserve">                                       </w:t>
      </w:r>
      <w:r>
        <w:rPr>
          <w:rFonts w:hint="eastAsia" w:ascii="仿宋_GB2312" w:eastAsia="仿宋_GB2312"/>
          <w:color w:val="000000" w:themeColor="text1"/>
          <w:spacing w:val="39"/>
          <w:u w:val="single"/>
          <w14:textFill>
            <w14:solidFill>
              <w14:schemeClr w14:val="tx1"/>
            </w14:solidFill>
          </w14:textFill>
        </w:rPr>
        <w:t xml:space="preserve"> </w:t>
      </w:r>
    </w:p>
    <w:p>
      <w:pPr>
        <w:pStyle w:val="4"/>
        <w:ind w:left="0"/>
        <w:jc w:val="both"/>
        <w:rPr>
          <w:rFonts w:ascii="仿宋_GB2312" w:eastAsia="仿宋_GB2312"/>
          <w:color w:val="000000" w:themeColor="text1"/>
          <w:sz w:val="20"/>
          <w14:textFill>
            <w14:solidFill>
              <w14:schemeClr w14:val="tx1"/>
            </w14:solidFill>
          </w14:textFill>
        </w:rPr>
      </w:pPr>
    </w:p>
    <w:p>
      <w:pPr>
        <w:pStyle w:val="4"/>
        <w:ind w:left="0"/>
        <w:jc w:val="both"/>
        <w:rPr>
          <w:rFonts w:ascii="仿宋_GB2312" w:eastAsia="仿宋_GB2312"/>
          <w:color w:val="000000" w:themeColor="text1"/>
          <w:sz w:val="18"/>
          <w14:textFill>
            <w14:solidFill>
              <w14:schemeClr w14:val="tx1"/>
            </w14:solidFill>
          </w14:textFill>
        </w:rPr>
      </w:pPr>
    </w:p>
    <w:p>
      <w:pPr>
        <w:pStyle w:val="4"/>
        <w:spacing w:line="334" w:lineRule="auto"/>
        <w:ind w:left="0" w:leftChars="0" w:right="-73" w:rightChars="-33" w:firstLine="585" w:firstLineChars="22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pacing w:val="-7"/>
          <w14:textFill>
            <w14:solidFill>
              <w14:schemeClr w14:val="tx1"/>
            </w14:solidFill>
          </w14:textFill>
        </w:rPr>
        <w:t>根据国家和自治区有关开展药品集中采购和使用工作的政策规定，</w:t>
      </w:r>
      <w:r>
        <w:rPr>
          <w:rFonts w:hint="eastAsia" w:ascii="仿宋_GB2312" w:hAnsi="仿宋_GB2312" w:eastAsia="仿宋_GB2312" w:cs="仿宋_GB2312"/>
          <w:color w:val="000000" w:themeColor="text1"/>
          <w14:textFill>
            <w14:solidFill>
              <w14:schemeClr w14:val="tx1"/>
            </w14:solidFill>
          </w14:textFill>
        </w:rPr>
        <w:t>为</w:t>
      </w:r>
      <w:r>
        <w:rPr>
          <w:rFonts w:hint="eastAsia" w:ascii="仿宋_GB2312" w:hAnsi="仿宋_GB2312" w:eastAsia="仿宋_GB2312" w:cs="仿宋_GB2312"/>
          <w:color w:val="000000" w:themeColor="text1"/>
          <w:spacing w:val="-9"/>
          <w14:textFill>
            <w14:solidFill>
              <w14:schemeClr w14:val="tx1"/>
            </w14:solidFill>
          </w14:textFill>
        </w:rPr>
        <w:t>切实保证药品质量和供应，减少企业交易成本，净化流通环境，改善行业</w:t>
      </w:r>
      <w:r>
        <w:rPr>
          <w:rFonts w:hint="eastAsia" w:ascii="仿宋_GB2312" w:hAnsi="仿宋_GB2312" w:eastAsia="仿宋_GB2312" w:cs="仿宋_GB2312"/>
          <w:color w:val="000000" w:themeColor="text1"/>
          <w:spacing w:val="-10"/>
          <w14:textFill>
            <w14:solidFill>
              <w14:schemeClr w14:val="tx1"/>
            </w14:solidFill>
          </w14:textFill>
        </w:rPr>
        <w:t>生态，促进医疗事业健康发展，甲、乙、丙三方依据《中华人民共和国民法典</w:t>
      </w:r>
      <w:r>
        <w:rPr>
          <w:rFonts w:hint="eastAsia" w:ascii="仿宋_GB2312" w:hAnsi="仿宋_GB2312" w:eastAsia="仿宋_GB2312" w:cs="仿宋_GB2312"/>
          <w:color w:val="000000" w:themeColor="text1"/>
          <w:spacing w:val="-3"/>
          <w14:textFill>
            <w14:solidFill>
              <w14:schemeClr w14:val="tx1"/>
            </w14:solidFill>
          </w14:textFill>
        </w:rPr>
        <w:t>》、《中华人民共和国药品管理法》、《药品流通监督管理办法》、</w:t>
      </w:r>
      <w:r>
        <w:rPr>
          <w:rFonts w:hint="eastAsia" w:ascii="仿宋_GB2312" w:hAnsi="仿宋_GB2312" w:eastAsia="仿宋_GB2312" w:cs="仿宋_GB2312"/>
          <w:color w:val="000000" w:themeColor="text1"/>
          <w:spacing w:val="-16"/>
          <w14:textFill>
            <w14:solidFill>
              <w14:schemeClr w14:val="tx1"/>
            </w14:solidFill>
          </w14:textFill>
        </w:rPr>
        <w:t>《药品经营质量管理规范》以及《全国药品集中采购文件》</w:t>
      </w:r>
      <w:r>
        <w:rPr>
          <w:rFonts w:hint="eastAsia" w:ascii="仿宋_GB2312" w:hAnsi="仿宋_GB2312" w:eastAsia="仿宋_GB2312" w:cs="仿宋_GB2312"/>
          <w:color w:val="000000" w:themeColor="text1"/>
          <w:spacing w:val="-17"/>
          <w14:textFill>
            <w14:solidFill>
              <w14:schemeClr w14:val="tx1"/>
            </w14:solidFill>
          </w14:textFill>
        </w:rPr>
        <w:t>（采购文件编号：GY-</w:t>
      </w:r>
      <w:r>
        <w:rPr>
          <w:rFonts w:hint="eastAsia" w:ascii="仿宋_GB2312" w:hAnsi="仿宋_GB2312" w:eastAsia="仿宋_GB2312" w:cs="仿宋_GB2312"/>
          <w:color w:val="000000" w:themeColor="text1"/>
          <w:spacing w:val="-17"/>
          <w:u w:val="single"/>
          <w:lang w:val="en-US"/>
          <w14:textFill>
            <w14:solidFill>
              <w14:schemeClr w14:val="tx1"/>
            </w14:solidFill>
          </w14:textFill>
        </w:rPr>
        <w:t xml:space="preserve">            </w:t>
      </w:r>
      <w:r>
        <w:rPr>
          <w:rFonts w:hint="eastAsia" w:ascii="仿宋_GB2312" w:hAnsi="仿宋_GB2312" w:eastAsia="仿宋_GB2312" w:cs="仿宋_GB2312"/>
          <w:color w:val="000000" w:themeColor="text1"/>
          <w:spacing w:val="-17"/>
          <w14:textFill>
            <w14:solidFill>
              <w14:schemeClr w14:val="tx1"/>
            </w14:solidFill>
          </w14:textFill>
        </w:rPr>
        <w:t>）</w:t>
      </w:r>
      <w:r>
        <w:rPr>
          <w:rFonts w:hint="eastAsia" w:ascii="仿宋_GB2312" w:hAnsi="仿宋_GB2312" w:eastAsia="仿宋_GB2312" w:cs="仿宋_GB2312"/>
          <w:color w:val="000000" w:themeColor="text1"/>
          <w:spacing w:val="-3"/>
          <w14:textFill>
            <w14:solidFill>
              <w14:schemeClr w14:val="tx1"/>
            </w14:solidFill>
          </w14:textFill>
        </w:rPr>
        <w:t>等相关规定，在平等、自愿、诚信的基础上，经协商达成如下协议：</w:t>
      </w:r>
    </w:p>
    <w:p>
      <w:pPr>
        <w:pStyle w:val="13"/>
        <w:numPr>
          <w:ilvl w:val="0"/>
          <w:numId w:val="1"/>
        </w:numPr>
        <w:spacing w:line="334" w:lineRule="auto"/>
        <w:ind w:left="960" w:leftChars="0" w:right="-73" w:rightChars="-33" w:hanging="393" w:firstLineChars="0"/>
        <w:jc w:val="both"/>
        <w:rPr>
          <w:rFonts w:ascii="仿宋_GB2312" w:hAnsi="仿宋_GB2312" w:eastAsia="仿宋_GB2312" w:cs="仿宋_GB2312"/>
          <w:color w:val="000000" w:themeColor="text1"/>
          <w:sz w:val="28"/>
          <w:szCs w:val="28"/>
          <w14:textFill>
            <w14:solidFill>
              <w14:schemeClr w14:val="tx1"/>
            </w14:solidFill>
          </w14:textFill>
        </w:rPr>
      </w:pPr>
      <w:bookmarkStart w:id="4" w:name="1.定义"/>
      <w:bookmarkEnd w:id="4"/>
      <w:r>
        <w:rPr>
          <w:rFonts w:hint="eastAsia" w:ascii="仿宋_GB2312" w:hAnsi="仿宋_GB2312" w:eastAsia="仿宋_GB2312" w:cs="仿宋_GB2312"/>
          <w:color w:val="000000" w:themeColor="text1"/>
          <w:sz w:val="28"/>
          <w:szCs w:val="28"/>
          <w14:textFill>
            <w14:solidFill>
              <w14:schemeClr w14:val="tx1"/>
            </w14:solidFill>
          </w14:textFill>
        </w:rPr>
        <w:t>定义</w:t>
      </w:r>
    </w:p>
    <w:p>
      <w:pPr>
        <w:pStyle w:val="13"/>
        <w:numPr>
          <w:ilvl w:val="0"/>
          <w:numId w:val="2"/>
        </w:numPr>
        <w:tabs>
          <w:tab w:val="left" w:pos="440"/>
          <w:tab w:val="left" w:pos="1100"/>
          <w:tab w:val="clear" w:pos="420"/>
        </w:tabs>
        <w:spacing w:before="121"/>
        <w:ind w:left="428" w:leftChars="0" w:right="-73" w:rightChars="-33" w:hanging="8" w:firstLineChars="0"/>
        <w:jc w:val="both"/>
        <w:rPr>
          <w:rFonts w:ascii="仿宋_GB2312" w:hAnsi="仿宋_GB2312" w:eastAsia="仿宋_GB2312" w:cs="仿宋_GB2312"/>
          <w:color w:val="000000" w:themeColor="text1"/>
          <w:sz w:val="28"/>
          <w:szCs w:val="28"/>
          <w14:textFill>
            <w14:solidFill>
              <w14:schemeClr w14:val="tx1"/>
            </w14:solidFill>
          </w14:textFill>
        </w:rPr>
      </w:pPr>
      <w:bookmarkStart w:id="5" w:name="2.采购周期"/>
      <w:bookmarkEnd w:id="5"/>
      <w:r>
        <w:rPr>
          <w:rFonts w:hint="eastAsia" w:ascii="仿宋_GB2312" w:hAnsi="仿宋_GB2312" w:eastAsia="仿宋_GB2312" w:cs="仿宋_GB2312"/>
          <w:color w:val="000000" w:themeColor="text1"/>
          <w:sz w:val="28"/>
          <w:szCs w:val="28"/>
          <w14:textFill>
            <w14:solidFill>
              <w14:schemeClr w14:val="tx1"/>
            </w14:solidFill>
          </w14:textFill>
        </w:rPr>
        <w:t>甲方：宁夏回族自治区境内医保定点公立医疗机构和军队医疗机构</w:t>
      </w:r>
      <w:r>
        <w:rPr>
          <w:rFonts w:hint="eastAsia" w:ascii="仿宋_GB2312" w:hAnsi="仿宋_GB2312" w:eastAsia="仿宋_GB2312" w:cs="仿宋_GB2312"/>
          <w:color w:val="000000" w:themeColor="text1"/>
          <w:sz w:val="28"/>
          <w:szCs w:val="28"/>
          <w:lang w:val="en-US" w:bidi="ar"/>
          <w14:textFill>
            <w14:solidFill>
              <w14:schemeClr w14:val="tx1"/>
            </w14:solidFill>
          </w14:textFill>
        </w:rPr>
        <w:t>。</w:t>
      </w:r>
    </w:p>
    <w:p>
      <w:pPr>
        <w:pStyle w:val="13"/>
        <w:numPr>
          <w:ilvl w:val="0"/>
          <w:numId w:val="2"/>
        </w:numPr>
        <w:tabs>
          <w:tab w:val="left" w:pos="0"/>
          <w:tab w:val="left" w:pos="1332"/>
          <w:tab w:val="clear" w:pos="420"/>
        </w:tabs>
        <w:spacing w:before="121"/>
        <w:ind w:left="1128" w:leftChars="0" w:right="-73" w:rightChars="-33" w:hanging="708" w:firstLineChars="0"/>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乙方：国家集采中选药品生产企业。</w:t>
      </w:r>
      <w:r>
        <w:rPr>
          <w:rFonts w:hint="eastAsia" w:ascii="仿宋_GB2312" w:hAnsi="仿宋_GB2312" w:eastAsia="仿宋_GB2312" w:cs="仿宋_GB2312"/>
          <w:color w:val="000000" w:themeColor="text1"/>
          <w:sz w:val="28"/>
          <w:szCs w:val="28"/>
          <w:lang w:val="en-US" w:bidi="ar"/>
          <w14:textFill>
            <w14:solidFill>
              <w14:schemeClr w14:val="tx1"/>
            </w14:solidFill>
          </w14:textFill>
        </w:rPr>
        <w:t xml:space="preserve"> </w:t>
      </w:r>
    </w:p>
    <w:p>
      <w:pPr>
        <w:pStyle w:val="13"/>
        <w:numPr>
          <w:ilvl w:val="0"/>
          <w:numId w:val="2"/>
        </w:numPr>
        <w:tabs>
          <w:tab w:val="left" w:pos="0"/>
          <w:tab w:val="left" w:pos="1332"/>
          <w:tab w:val="clear" w:pos="420"/>
        </w:tabs>
        <w:spacing w:before="121"/>
        <w:ind w:left="1128" w:leftChars="0" w:right="-73" w:rightChars="-33" w:hanging="708" w:firstLineChars="0"/>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丙方：</w:t>
      </w:r>
      <w:r>
        <w:rPr>
          <w:rFonts w:hint="eastAsia" w:ascii="仿宋_GB2312" w:hAnsi="仿宋_GB2312" w:eastAsia="仿宋_GB2312" w:cs="仿宋_GB2312"/>
          <w:color w:val="000000" w:themeColor="text1"/>
          <w:sz w:val="28"/>
          <w:szCs w:val="28"/>
          <w:lang w:val="en-US" w:bidi="ar"/>
          <w14:textFill>
            <w14:solidFill>
              <w14:schemeClr w14:val="tx1"/>
            </w14:solidFill>
          </w14:textFill>
        </w:rPr>
        <w:t>乙方委托的国家集采中选药品的配送企业</w:t>
      </w:r>
    </w:p>
    <w:p>
      <w:pPr>
        <w:pStyle w:val="13"/>
        <w:numPr>
          <w:ilvl w:val="0"/>
          <w:numId w:val="2"/>
        </w:numPr>
        <w:tabs>
          <w:tab w:val="left" w:pos="0"/>
          <w:tab w:val="left" w:pos="1100"/>
          <w:tab w:val="clear" w:pos="420"/>
        </w:tabs>
        <w:spacing w:line="321" w:lineRule="auto"/>
        <w:ind w:left="8" w:leftChars="0" w:right="-73" w:rightChars="-33" w:firstLine="412" w:firstLineChars="0"/>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2"/>
          <w:sz w:val="28"/>
          <w:szCs w:val="28"/>
          <w14:textFill>
            <w14:solidFill>
              <w14:schemeClr w14:val="tx1"/>
            </w14:solidFill>
          </w14:textFill>
        </w:rPr>
        <w:t>采购平台：是指宁夏回族自治区公共资源交易管理局负责管理维护的宁</w:t>
      </w:r>
      <w:r>
        <w:rPr>
          <w:rFonts w:hint="eastAsia" w:ascii="仿宋_GB2312" w:hAnsi="仿宋_GB2312" w:eastAsia="仿宋_GB2312" w:cs="仿宋_GB2312"/>
          <w:color w:val="000000" w:themeColor="text1"/>
          <w:spacing w:val="-13"/>
          <w:sz w:val="28"/>
          <w:szCs w:val="28"/>
          <w14:textFill>
            <w14:solidFill>
              <w14:schemeClr w14:val="tx1"/>
            </w14:solidFill>
          </w14:textFill>
        </w:rPr>
        <w:t>夏医药采购平台</w:t>
      </w:r>
      <w:r>
        <w:rPr>
          <w:rFonts w:hint="eastAsia" w:ascii="仿宋_GB2312" w:hAnsi="仿宋_GB2312" w:eastAsia="仿宋_GB2312" w:cs="仿宋_GB2312"/>
          <w:color w:val="000000" w:themeColor="text1"/>
          <w:spacing w:val="-5"/>
          <w:sz w:val="28"/>
          <w:szCs w:val="28"/>
          <w14:textFill>
            <w14:solidFill>
              <w14:schemeClr w14:val="tx1"/>
            </w14:solidFill>
          </w14:textFill>
        </w:rPr>
        <w:t>。</w:t>
      </w:r>
    </w:p>
    <w:p>
      <w:pPr>
        <w:pStyle w:val="13"/>
        <w:numPr>
          <w:ilvl w:val="0"/>
          <w:numId w:val="1"/>
        </w:numPr>
        <w:spacing w:line="334" w:lineRule="auto"/>
        <w:ind w:left="960" w:leftChars="0" w:right="-73" w:rightChars="-33" w:hanging="393" w:firstLineChars="0"/>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2"/>
          <w:sz w:val="28"/>
          <w:szCs w:val="28"/>
          <w14:textFill>
            <w14:solidFill>
              <w14:schemeClr w14:val="tx1"/>
            </w14:solidFill>
          </w14:textFill>
        </w:rPr>
        <w:t>采购周期</w:t>
      </w:r>
    </w:p>
    <w:p>
      <w:pPr>
        <w:widowControl/>
        <w:ind w:right="-73" w:rightChars="-33" w:firstLine="560" w:firstLineChars="200"/>
        <w:rPr>
          <w:rFonts w:ascii="仿宋_GB2312" w:hAnsi="仿宋_GB2312" w:eastAsia="仿宋_GB2312" w:cs="仿宋_GB2312"/>
          <w:color w:val="000000" w:themeColor="text1"/>
          <w:spacing w:val="-4"/>
          <w:sz w:val="28"/>
          <w:szCs w:val="28"/>
          <w14:textFill>
            <w14:solidFill>
              <w14:schemeClr w14:val="tx1"/>
            </w14:solidFill>
          </w14:textFill>
        </w:rPr>
      </w:pPr>
      <w:bookmarkStart w:id="6" w:name="3.规格包装"/>
      <w:bookmarkEnd w:id="6"/>
      <w:r>
        <w:rPr>
          <w:rFonts w:hint="eastAsia" w:ascii="仿宋_GB2312" w:hAnsi="仿宋_GB2312" w:eastAsia="仿宋_GB2312" w:cs="仿宋_GB2312"/>
          <w:color w:val="000000" w:themeColor="text1"/>
          <w:sz w:val="28"/>
          <w:szCs w:val="28"/>
          <w14:textFill>
            <w14:solidFill>
              <w14:schemeClr w14:val="tx1"/>
            </w14:solidFill>
          </w14:textFill>
        </w:rPr>
        <w:t>采购周期内购销协议一年一签。</w:t>
      </w:r>
      <w:r>
        <w:rPr>
          <w:rFonts w:hint="eastAsia" w:ascii="仿宋_GB2312" w:hAnsi="仿宋_GB2312" w:eastAsia="仿宋_GB2312" w:cs="仿宋_GB2312"/>
          <w:color w:val="000000" w:themeColor="text1"/>
          <w:spacing w:val="-3"/>
          <w:sz w:val="28"/>
          <w:szCs w:val="28"/>
          <w14:textFill>
            <w14:solidFill>
              <w14:schemeClr w14:val="tx1"/>
            </w14:solidFill>
          </w14:textFill>
        </w:rPr>
        <w:t>本协议有效期自</w:t>
      </w:r>
      <w:r>
        <w:rPr>
          <w:rFonts w:hint="eastAsia" w:ascii="仿宋_GB2312" w:hAnsi="仿宋_GB2312" w:eastAsia="仿宋_GB2312" w:cs="仿宋_GB2312"/>
          <w:color w:val="000000" w:themeColor="text1"/>
          <w:spacing w:val="1"/>
          <w:sz w:val="28"/>
          <w:szCs w:val="28"/>
          <w:u w:val="single" w:color="FF0000"/>
          <w14:textFill>
            <w14:solidFill>
              <w14:schemeClr w14:val="tx1"/>
            </w14:solidFill>
          </w14:textFill>
        </w:rPr>
        <w:t xml:space="preserve">   </w:t>
      </w:r>
      <w:r>
        <w:rPr>
          <w:rFonts w:hint="eastAsia" w:ascii="仿宋_GB2312" w:hAnsi="仿宋_GB2312" w:eastAsia="仿宋_GB2312" w:cs="仿宋_GB2312"/>
          <w:color w:val="000000" w:themeColor="text1"/>
          <w:spacing w:val="-3"/>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u w:val="single" w:color="FF0000"/>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u w:val="single" w:color="FF0000"/>
          <w14:textFill>
            <w14:solidFill>
              <w14:schemeClr w14:val="tx1"/>
            </w14:solidFill>
          </w14:textFill>
        </w:rPr>
        <w:t xml:space="preserve">   </w:t>
      </w:r>
      <w:r>
        <w:rPr>
          <w:rFonts w:hint="eastAsia" w:ascii="仿宋_GB2312" w:hAnsi="仿宋_GB2312" w:eastAsia="仿宋_GB2312" w:cs="仿宋_GB2312"/>
          <w:color w:val="000000" w:themeColor="text1"/>
          <w:spacing w:val="-16"/>
          <w:sz w:val="28"/>
          <w:szCs w:val="28"/>
          <w14:textFill>
            <w14:solidFill>
              <w14:schemeClr w14:val="tx1"/>
            </w14:solidFill>
          </w14:textFill>
        </w:rPr>
        <w:t>日起，至</w:t>
      </w:r>
      <w:r>
        <w:rPr>
          <w:rFonts w:hint="eastAsia" w:ascii="仿宋_GB2312" w:hAnsi="仿宋_GB2312" w:eastAsia="仿宋_GB2312" w:cs="仿宋_GB2312"/>
          <w:color w:val="000000" w:themeColor="text1"/>
          <w:sz w:val="28"/>
          <w:szCs w:val="28"/>
          <w:u w:val="single" w:color="FF0000"/>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u w:val="single" w:color="FF0000"/>
          <w14:textFill>
            <w14:solidFill>
              <w14:schemeClr w14:val="tx1"/>
            </w14:solidFill>
          </w14:textFill>
        </w:rPr>
        <w:t xml:space="preserve">   </w:t>
      </w:r>
      <w:r>
        <w:rPr>
          <w:rFonts w:hint="eastAsia" w:ascii="仿宋_GB2312" w:hAnsi="仿宋_GB2312" w:eastAsia="仿宋_GB2312" w:cs="仿宋_GB2312"/>
          <w:color w:val="000000" w:themeColor="text1"/>
          <w:spacing w:val="-4"/>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u w:val="single" w:color="FF0000"/>
          <w14:textFill>
            <w14:solidFill>
              <w14:schemeClr w14:val="tx1"/>
            </w14:solidFill>
          </w14:textFill>
        </w:rPr>
        <w:t xml:space="preserve">   </w:t>
      </w:r>
      <w:r>
        <w:rPr>
          <w:rFonts w:hint="eastAsia" w:ascii="仿宋_GB2312" w:hAnsi="仿宋_GB2312" w:eastAsia="仿宋_GB2312" w:cs="仿宋_GB2312"/>
          <w:color w:val="000000" w:themeColor="text1"/>
          <w:spacing w:val="-21"/>
          <w:sz w:val="28"/>
          <w:szCs w:val="28"/>
          <w14:textFill>
            <w14:solidFill>
              <w14:schemeClr w14:val="tx1"/>
            </w14:solidFill>
          </w14:textFill>
        </w:rPr>
        <w:t>日止。</w:t>
      </w:r>
      <w:r>
        <w:rPr>
          <w:rFonts w:hint="eastAsia" w:ascii="仿宋_GB2312" w:hAnsi="仿宋_GB2312" w:eastAsia="仿宋_GB2312" w:cs="仿宋_GB2312"/>
          <w:color w:val="000000" w:themeColor="text1"/>
          <w:sz w:val="28"/>
          <w:szCs w:val="28"/>
          <w14:textFill>
            <w14:solidFill>
              <w14:schemeClr w14:val="tx1"/>
            </w14:solidFill>
          </w14:textFill>
        </w:rPr>
        <w:t>采购</w:t>
      </w:r>
      <w:r>
        <w:rPr>
          <w:rFonts w:hint="eastAsia" w:ascii="仿宋_GB2312" w:hAnsi="仿宋_GB2312" w:eastAsia="仿宋_GB2312" w:cs="仿宋_GB2312"/>
          <w:color w:val="000000" w:themeColor="text1"/>
          <w:spacing w:val="-10"/>
          <w:sz w:val="28"/>
          <w:szCs w:val="28"/>
          <w14:textFill>
            <w14:solidFill>
              <w14:schemeClr w14:val="tx1"/>
            </w14:solidFill>
          </w14:textFill>
        </w:rPr>
        <w:t>周期内提前完成约定采购量的，超过部分仍按中选价进行采购，直至前述</w:t>
      </w:r>
      <w:r>
        <w:rPr>
          <w:rFonts w:hint="eastAsia" w:ascii="仿宋_GB2312" w:hAnsi="仿宋_GB2312" w:eastAsia="仿宋_GB2312" w:cs="仿宋_GB2312"/>
          <w:color w:val="000000" w:themeColor="text1"/>
          <w:spacing w:val="-4"/>
          <w:sz w:val="28"/>
          <w:szCs w:val="28"/>
          <w14:textFill>
            <w14:solidFill>
              <w14:schemeClr w14:val="tx1"/>
            </w14:solidFill>
          </w14:textFill>
        </w:rPr>
        <w:t>采购周期届满。协议终止不影响采购周期内已发生业务往来的执行。</w:t>
      </w:r>
    </w:p>
    <w:p>
      <w:pPr>
        <w:widowControl/>
        <w:ind w:right="-73" w:rightChars="-33"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bidi="ar"/>
          <w14:textFill>
            <w14:solidFill>
              <w14:schemeClr w14:val="tx1"/>
            </w14:solidFill>
          </w14:textFill>
        </w:rPr>
        <w:t xml:space="preserve">中选药品的名称、剂型、规格、包装规格、中选价格、约定采购量、生产企业等见本合同附件：中选药品采购明细表。 </w:t>
      </w:r>
    </w:p>
    <w:p>
      <w:pPr>
        <w:pStyle w:val="13"/>
        <w:numPr>
          <w:ilvl w:val="0"/>
          <w:numId w:val="1"/>
        </w:numPr>
        <w:spacing w:line="334" w:lineRule="auto"/>
        <w:ind w:left="960" w:leftChars="0" w:right="-73" w:rightChars="-33" w:hanging="393" w:firstLineChars="0"/>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2"/>
          <w:sz w:val="28"/>
          <w:szCs w:val="28"/>
          <w14:textFill>
            <w14:solidFill>
              <w14:schemeClr w14:val="tx1"/>
            </w14:solidFill>
          </w14:textFill>
        </w:rPr>
        <w:t>规格包装</w:t>
      </w:r>
    </w:p>
    <w:p>
      <w:pPr>
        <w:pStyle w:val="4"/>
        <w:spacing w:line="334" w:lineRule="auto"/>
        <w:ind w:left="0" w:leftChars="0" w:right="-73" w:rightChars="-33" w:firstLine="405" w:firstLineChars="157"/>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pacing w:val="-11"/>
          <w14:textFill>
            <w14:solidFill>
              <w14:schemeClr w14:val="tx1"/>
            </w14:solidFill>
          </w14:textFill>
        </w:rPr>
        <w:t>乙方、丙方交付中选药品的规格包装应与“药品集中采购中选后供应</w:t>
      </w:r>
      <w:r>
        <w:rPr>
          <w:rFonts w:hint="eastAsia" w:ascii="仿宋_GB2312" w:hAnsi="仿宋_GB2312" w:eastAsia="仿宋_GB2312" w:cs="仿宋_GB2312"/>
          <w:color w:val="000000" w:themeColor="text1"/>
          <w:spacing w:val="-5"/>
          <w14:textFill>
            <w14:solidFill>
              <w14:schemeClr w14:val="tx1"/>
            </w14:solidFill>
          </w14:textFill>
        </w:rPr>
        <w:t>品种清单”规格包装相一致。</w:t>
      </w:r>
    </w:p>
    <w:p>
      <w:pPr>
        <w:pStyle w:val="13"/>
        <w:numPr>
          <w:ilvl w:val="0"/>
          <w:numId w:val="1"/>
        </w:numPr>
        <w:spacing w:line="334" w:lineRule="auto"/>
        <w:ind w:left="960" w:leftChars="0" w:right="-73" w:rightChars="-33" w:hanging="393" w:firstLineChars="0"/>
        <w:jc w:val="both"/>
        <w:rPr>
          <w:rFonts w:ascii="仿宋_GB2312" w:hAnsi="仿宋_GB2312" w:eastAsia="仿宋_GB2312" w:cs="仿宋_GB2312"/>
          <w:color w:val="000000" w:themeColor="text1"/>
          <w:sz w:val="28"/>
          <w:szCs w:val="28"/>
          <w14:textFill>
            <w14:solidFill>
              <w14:schemeClr w14:val="tx1"/>
            </w14:solidFill>
          </w14:textFill>
        </w:rPr>
      </w:pPr>
      <w:bookmarkStart w:id="7" w:name="4.有效期"/>
      <w:bookmarkEnd w:id="7"/>
      <w:r>
        <w:rPr>
          <w:rFonts w:hint="eastAsia" w:ascii="仿宋_GB2312" w:hAnsi="仿宋_GB2312" w:eastAsia="仿宋_GB2312" w:cs="仿宋_GB2312"/>
          <w:color w:val="000000" w:themeColor="text1"/>
          <w:spacing w:val="-2"/>
          <w:sz w:val="28"/>
          <w:szCs w:val="28"/>
          <w14:textFill>
            <w14:solidFill>
              <w14:schemeClr w14:val="tx1"/>
            </w14:solidFill>
          </w14:textFill>
        </w:rPr>
        <w:t>有效期</w:t>
      </w:r>
    </w:p>
    <w:p>
      <w:pPr>
        <w:widowControl/>
        <w:ind w:left="0" w:leftChars="0" w:right="-73" w:rightChars="-33" w:firstLine="439" w:firstLineChars="157"/>
        <w:rPr>
          <w:rFonts w:ascii="仿宋_GB2312" w:hAnsi="仿宋_GB2312" w:eastAsia="仿宋_GB2312" w:cs="仿宋_GB2312"/>
          <w:color w:val="000000" w:themeColor="text1"/>
          <w:sz w:val="28"/>
          <w:szCs w:val="28"/>
          <w:lang w:val="en-US" w:bidi="ar"/>
          <w14:textFill>
            <w14:solidFill>
              <w14:schemeClr w14:val="tx1"/>
            </w14:solidFill>
          </w14:textFill>
        </w:rPr>
      </w:pPr>
      <w:bookmarkStart w:id="8" w:name="5.专利权"/>
      <w:bookmarkEnd w:id="8"/>
      <w:r>
        <w:rPr>
          <w:rFonts w:hint="eastAsia" w:ascii="仿宋_GB2312" w:hAnsi="仿宋_GB2312" w:eastAsia="仿宋_GB2312" w:cs="仿宋_GB2312"/>
          <w:color w:val="000000" w:themeColor="text1"/>
          <w:sz w:val="28"/>
          <w:szCs w:val="28"/>
          <w:lang w:val="en-US" w:bidi="ar"/>
          <w14:textFill>
            <w14:solidFill>
              <w14:schemeClr w14:val="tx1"/>
            </w14:solidFill>
          </w14:textFill>
        </w:rPr>
        <w:t>乙方确保其每次交付给丙方的中选药品时，供货中选药品的剩余有效期符合如下条件：</w:t>
      </w:r>
    </w:p>
    <w:p>
      <w:pPr>
        <w:widowControl/>
        <w:numPr>
          <w:ilvl w:val="0"/>
          <w:numId w:val="3"/>
        </w:numPr>
        <w:ind w:right="-73" w:rightChars="-33" w:firstLine="560" w:firstLineChars="200"/>
        <w:rPr>
          <w:rFonts w:ascii="仿宋_GB2312" w:hAnsi="仿宋_GB2312" w:eastAsia="仿宋_GB2312" w:cs="仿宋_GB2312"/>
          <w:color w:val="000000" w:themeColor="text1"/>
          <w:sz w:val="28"/>
          <w:szCs w:val="28"/>
          <w:lang w:val="en-US" w:bidi="ar"/>
          <w14:textFill>
            <w14:solidFill>
              <w14:schemeClr w14:val="tx1"/>
            </w14:solidFill>
          </w14:textFill>
        </w:rPr>
      </w:pPr>
      <w:r>
        <w:rPr>
          <w:rFonts w:hint="eastAsia" w:ascii="仿宋_GB2312" w:hAnsi="仿宋_GB2312" w:eastAsia="仿宋_GB2312" w:cs="仿宋_GB2312"/>
          <w:color w:val="000000" w:themeColor="text1"/>
          <w:sz w:val="28"/>
          <w:szCs w:val="28"/>
          <w:lang w:val="en-US" w:bidi="ar"/>
          <w14:textFill>
            <w14:solidFill>
              <w14:schemeClr w14:val="tx1"/>
            </w14:solidFill>
          </w14:textFill>
        </w:rPr>
        <w:t>中选药品有效期为一年的，剩余有效期至少为九个月；</w:t>
      </w:r>
    </w:p>
    <w:p>
      <w:pPr>
        <w:widowControl/>
        <w:ind w:right="-73" w:rightChars="-33"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bidi="ar"/>
          <w14:textFill>
            <w14:solidFill>
              <w14:schemeClr w14:val="tx1"/>
            </w14:solidFill>
          </w14:textFill>
        </w:rPr>
        <w:t xml:space="preserve">（2）中选药品有效期为一年半至两年的，剩余有效期至少为十二个月； </w:t>
      </w:r>
    </w:p>
    <w:p>
      <w:pPr>
        <w:widowControl/>
        <w:ind w:right="-73" w:rightChars="-33" w:firstLine="560" w:firstLineChars="200"/>
        <w:rPr>
          <w:rFonts w:ascii="仿宋_GB2312" w:hAnsi="仿宋_GB2312" w:eastAsia="仿宋_GB2312" w:cs="仿宋_GB2312"/>
          <w:color w:val="000000" w:themeColor="text1"/>
          <w:sz w:val="28"/>
          <w:szCs w:val="28"/>
          <w:lang w:val="en-US" w:bidi="ar"/>
          <w14:textFill>
            <w14:solidFill>
              <w14:schemeClr w14:val="tx1"/>
            </w14:solidFill>
          </w14:textFill>
        </w:rPr>
      </w:pPr>
      <w:r>
        <w:rPr>
          <w:rFonts w:hint="eastAsia" w:ascii="仿宋_GB2312" w:hAnsi="仿宋_GB2312" w:eastAsia="仿宋_GB2312" w:cs="仿宋_GB2312"/>
          <w:color w:val="000000" w:themeColor="text1"/>
          <w:sz w:val="28"/>
          <w:szCs w:val="28"/>
          <w:lang w:val="en-US" w:bidi="ar"/>
          <w14:textFill>
            <w14:solidFill>
              <w14:schemeClr w14:val="tx1"/>
            </w14:solidFill>
          </w14:textFill>
        </w:rPr>
        <w:t>（3）中选药品有效期超过二年的，剩余有效期至少为十五个月。</w:t>
      </w:r>
    </w:p>
    <w:p>
      <w:pPr>
        <w:widowControl/>
        <w:ind w:right="-73" w:rightChars="-33" w:firstLine="835" w:firstLineChars="329"/>
        <w:rPr>
          <w:rFonts w:ascii="仿宋_GB2312" w:hAnsi="仿宋_GB2312" w:eastAsia="仿宋_GB2312" w:cs="仿宋_GB2312"/>
          <w:color w:val="000000" w:themeColor="text1"/>
          <w:spacing w:val="-19"/>
          <w:sz w:val="28"/>
          <w:szCs w:val="28"/>
          <w14:textFill>
            <w14:solidFill>
              <w14:schemeClr w14:val="tx1"/>
            </w14:solidFill>
          </w14:textFill>
        </w:rPr>
      </w:pPr>
      <w:r>
        <w:rPr>
          <w:rFonts w:hint="eastAsia" w:ascii="仿宋_GB2312" w:hAnsi="仿宋_GB2312" w:eastAsia="仿宋_GB2312" w:cs="仿宋_GB2312"/>
          <w:color w:val="000000" w:themeColor="text1"/>
          <w:spacing w:val="-13"/>
          <w:sz w:val="28"/>
          <w:szCs w:val="28"/>
          <w14:textFill>
            <w14:solidFill>
              <w14:schemeClr w14:val="tx1"/>
            </w14:solidFill>
          </w14:textFill>
        </w:rPr>
        <w:t>除非甲方对有效期另有规定，甲方收到丙方送达药品的时间距离药品的有效期</w:t>
      </w:r>
      <w:r>
        <w:rPr>
          <w:rFonts w:hint="eastAsia" w:ascii="仿宋_GB2312" w:hAnsi="仿宋_GB2312" w:eastAsia="仿宋_GB2312" w:cs="仿宋_GB2312"/>
          <w:color w:val="000000" w:themeColor="text1"/>
          <w:spacing w:val="-11"/>
          <w:sz w:val="28"/>
          <w:szCs w:val="28"/>
          <w14:textFill>
            <w14:solidFill>
              <w14:schemeClr w14:val="tx1"/>
            </w14:solidFill>
          </w14:textFill>
        </w:rPr>
        <w:t>截止日原则上不得少于</w:t>
      </w:r>
      <w:r>
        <w:rPr>
          <w:rFonts w:hint="eastAsia" w:ascii="仿宋_GB2312" w:hAnsi="仿宋_GB2312" w:eastAsia="仿宋_GB2312" w:cs="仿宋_GB2312"/>
          <w:color w:val="000000" w:themeColor="text1"/>
          <w:sz w:val="28"/>
          <w:szCs w:val="28"/>
          <w14:textFill>
            <w14:solidFill>
              <w14:schemeClr w14:val="tx1"/>
            </w14:solidFill>
          </w14:textFill>
        </w:rPr>
        <w:t>6</w:t>
      </w:r>
      <w:r>
        <w:rPr>
          <w:rFonts w:hint="eastAsia" w:ascii="仿宋_GB2312" w:hAnsi="仿宋_GB2312" w:eastAsia="仿宋_GB2312" w:cs="仿宋_GB2312"/>
          <w:color w:val="000000" w:themeColor="text1"/>
          <w:spacing w:val="-19"/>
          <w:sz w:val="28"/>
          <w:szCs w:val="28"/>
          <w14:textFill>
            <w14:solidFill>
              <w14:schemeClr w14:val="tx1"/>
            </w14:solidFill>
          </w14:textFill>
        </w:rPr>
        <w:t>个月。</w:t>
      </w:r>
      <w:r>
        <w:rPr>
          <w:rFonts w:hint="eastAsia" w:ascii="仿宋_GB2312" w:hAnsi="仿宋_GB2312" w:eastAsia="仿宋_GB2312" w:cs="仿宋_GB2312"/>
          <w:color w:val="000000" w:themeColor="text1"/>
          <w:sz w:val="28"/>
          <w:szCs w:val="28"/>
          <w:lang w:val="en-US" w:bidi="ar"/>
          <w14:textFill>
            <w14:solidFill>
              <w14:schemeClr w14:val="tx1"/>
            </w14:solidFill>
          </w14:textFill>
        </w:rPr>
        <w:t xml:space="preserve">如遇特殊情况，甲、乙、丙三方可另行通过补充协议的方式约定剩余有效期的长短。在中选药品发生货源紧张的状况下，乙方应优先满足本合同的需求，避免脱销。 </w:t>
      </w:r>
    </w:p>
    <w:p>
      <w:pPr>
        <w:pStyle w:val="13"/>
        <w:numPr>
          <w:ilvl w:val="0"/>
          <w:numId w:val="1"/>
        </w:numPr>
        <w:spacing w:line="334" w:lineRule="auto"/>
        <w:ind w:left="960" w:leftChars="0" w:right="-73" w:rightChars="-33" w:hanging="393" w:firstLineChars="0"/>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2"/>
          <w:sz w:val="28"/>
          <w:szCs w:val="28"/>
          <w14:textFill>
            <w14:solidFill>
              <w14:schemeClr w14:val="tx1"/>
            </w14:solidFill>
          </w14:textFill>
        </w:rPr>
        <w:t>专利权</w:t>
      </w:r>
    </w:p>
    <w:p>
      <w:pPr>
        <w:pStyle w:val="4"/>
        <w:spacing w:line="334" w:lineRule="auto"/>
        <w:ind w:left="0" w:right="-73" w:rightChars="-33" w:firstLine="520" w:firstLineChars="200"/>
        <w:jc w:val="both"/>
        <w:rPr>
          <w:rFonts w:ascii="仿宋_GB2312" w:hAnsi="仿宋_GB2312" w:eastAsia="仿宋_GB2312" w:cs="仿宋_GB2312"/>
          <w:color w:val="000000" w:themeColor="text1"/>
          <w:spacing w:val="-10"/>
          <w14:textFill>
            <w14:solidFill>
              <w14:schemeClr w14:val="tx1"/>
            </w14:solidFill>
          </w14:textFill>
        </w:rPr>
      </w:pPr>
      <w:r>
        <w:rPr>
          <w:rFonts w:hint="eastAsia" w:ascii="仿宋_GB2312" w:hAnsi="仿宋_GB2312" w:eastAsia="仿宋_GB2312" w:cs="仿宋_GB2312"/>
          <w:color w:val="000000" w:themeColor="text1"/>
          <w:spacing w:val="-10"/>
          <w14:textFill>
            <w14:solidFill>
              <w14:schemeClr w14:val="tx1"/>
            </w14:solidFill>
          </w14:textFill>
        </w:rPr>
        <w:t>乙方应保证甲方在使用中选品种时，不会损害任何第三方的权益，也不会受到任何第三方提出的侵犯其专利权、商标权或保护期的起诉，否则应由乙方自行承担因此而产生的一切后果。若甲方因此被索赔或被追究任何法律责任，均应由乙方承担最终责任。</w:t>
      </w:r>
    </w:p>
    <w:p>
      <w:pPr>
        <w:pStyle w:val="13"/>
        <w:numPr>
          <w:ilvl w:val="0"/>
          <w:numId w:val="1"/>
        </w:numPr>
        <w:spacing w:line="334" w:lineRule="auto"/>
        <w:ind w:left="960" w:leftChars="0" w:right="-73" w:rightChars="-33" w:hanging="393" w:firstLineChars="0"/>
        <w:jc w:val="both"/>
        <w:rPr>
          <w:rFonts w:ascii="仿宋_GB2312" w:hAnsi="仿宋_GB2312" w:eastAsia="仿宋_GB2312" w:cs="仿宋_GB2312"/>
          <w:color w:val="000000" w:themeColor="text1"/>
          <w:sz w:val="28"/>
          <w:szCs w:val="28"/>
          <w14:textFill>
            <w14:solidFill>
              <w14:schemeClr w14:val="tx1"/>
            </w14:solidFill>
          </w14:textFill>
        </w:rPr>
      </w:pPr>
      <w:bookmarkStart w:id="9" w:name="7.订购"/>
      <w:bookmarkEnd w:id="9"/>
      <w:bookmarkStart w:id="10" w:name="6.乙方、丙方的承诺与保证"/>
      <w:bookmarkEnd w:id="10"/>
      <w:r>
        <w:rPr>
          <w:rFonts w:hint="eastAsia" w:ascii="仿宋_GB2312" w:hAnsi="仿宋_GB2312" w:eastAsia="仿宋_GB2312" w:cs="仿宋_GB2312"/>
          <w:color w:val="000000" w:themeColor="text1"/>
          <w:sz w:val="28"/>
          <w:szCs w:val="28"/>
          <w14:textFill>
            <w14:solidFill>
              <w14:schemeClr w14:val="tx1"/>
            </w14:solidFill>
          </w14:textFill>
        </w:rPr>
        <w:t>订购</w:t>
      </w:r>
    </w:p>
    <w:p>
      <w:pPr>
        <w:pStyle w:val="4"/>
        <w:spacing w:line="334" w:lineRule="auto"/>
        <w:ind w:left="0" w:leftChars="0" w:right="-73" w:rightChars="-33" w:firstLine="532"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pacing w:val="-7"/>
          <w14:textFill>
            <w14:solidFill>
              <w14:schemeClr w14:val="tx1"/>
            </w14:solidFill>
          </w14:textFill>
        </w:rPr>
        <w:t>甲方对中选品种全部实行网上采购，不得通过其他</w:t>
      </w:r>
      <w:r>
        <w:rPr>
          <w:rFonts w:hint="eastAsia" w:ascii="仿宋_GB2312" w:hAnsi="仿宋_GB2312" w:eastAsia="仿宋_GB2312" w:cs="仿宋_GB2312"/>
          <w:color w:val="000000" w:themeColor="text1"/>
          <w:spacing w:val="-3"/>
          <w14:textFill>
            <w14:solidFill>
              <w14:schemeClr w14:val="tx1"/>
            </w14:solidFill>
          </w14:textFill>
        </w:rPr>
        <w:t>形式采购。</w:t>
      </w:r>
    </w:p>
    <w:p>
      <w:pPr>
        <w:pStyle w:val="4"/>
        <w:spacing w:line="334" w:lineRule="auto"/>
        <w:ind w:left="0" w:leftChars="0" w:right="-73" w:rightChars="-33" w:firstLine="524"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pacing w:val="-9"/>
          <w14:textFill>
            <w14:solidFill>
              <w14:schemeClr w14:val="tx1"/>
            </w14:solidFill>
          </w14:textFill>
        </w:rPr>
        <w:t>甲方在乙方、丙方均无违约行为的前提下，必须足</w:t>
      </w:r>
      <w:r>
        <w:rPr>
          <w:rFonts w:hint="eastAsia" w:ascii="仿宋_GB2312" w:hAnsi="仿宋_GB2312" w:eastAsia="仿宋_GB2312" w:cs="仿宋_GB2312"/>
          <w:color w:val="000000" w:themeColor="text1"/>
          <w:spacing w:val="-8"/>
          <w14:textFill>
            <w14:solidFill>
              <w14:schemeClr w14:val="tx1"/>
            </w14:solidFill>
          </w14:textFill>
        </w:rPr>
        <w:t>量采购本协议项下的中选品种，确保在采购周期内完成协议采购量。</w:t>
      </w:r>
    </w:p>
    <w:p>
      <w:pPr>
        <w:pStyle w:val="13"/>
        <w:numPr>
          <w:ilvl w:val="0"/>
          <w:numId w:val="1"/>
        </w:numPr>
        <w:spacing w:line="334" w:lineRule="auto"/>
        <w:ind w:left="960" w:leftChars="0" w:right="-73" w:rightChars="-33" w:hanging="393" w:firstLineChars="0"/>
        <w:jc w:val="both"/>
        <w:rPr>
          <w:rFonts w:ascii="仿宋_GB2312" w:hAnsi="仿宋_GB2312" w:eastAsia="仿宋_GB2312" w:cs="仿宋_GB2312"/>
          <w:color w:val="000000" w:themeColor="text1"/>
          <w:sz w:val="28"/>
          <w:szCs w:val="28"/>
          <w14:textFill>
            <w14:solidFill>
              <w14:schemeClr w14:val="tx1"/>
            </w14:solidFill>
          </w14:textFill>
        </w:rPr>
      </w:pPr>
      <w:bookmarkStart w:id="11" w:name="8.配送"/>
      <w:bookmarkEnd w:id="11"/>
      <w:r>
        <w:rPr>
          <w:rFonts w:hint="eastAsia" w:ascii="仿宋_GB2312" w:hAnsi="仿宋_GB2312" w:eastAsia="仿宋_GB2312" w:cs="仿宋_GB2312"/>
          <w:color w:val="000000" w:themeColor="text1"/>
          <w:sz w:val="28"/>
          <w:szCs w:val="28"/>
          <w14:textFill>
            <w14:solidFill>
              <w14:schemeClr w14:val="tx1"/>
            </w14:solidFill>
          </w14:textFill>
        </w:rPr>
        <w:t>配送</w:t>
      </w:r>
    </w:p>
    <w:p>
      <w:pPr>
        <w:pStyle w:val="13"/>
        <w:numPr>
          <w:ilvl w:val="0"/>
          <w:numId w:val="4"/>
        </w:numPr>
        <w:tabs>
          <w:tab w:val="left" w:pos="1388"/>
        </w:tabs>
        <w:spacing w:line="334" w:lineRule="auto"/>
        <w:ind w:left="116" w:leftChars="0" w:right="-73" w:rightChars="-33" w:firstLine="451" w:firstLineChars="0"/>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乙方、丙方保证中选品种包装符合《中华人民共和国药品管理</w:t>
      </w:r>
      <w:r>
        <w:rPr>
          <w:rFonts w:hint="eastAsia" w:ascii="仿宋_GB2312" w:hAnsi="仿宋_GB2312" w:eastAsia="仿宋_GB2312" w:cs="仿宋_GB2312"/>
          <w:color w:val="000000" w:themeColor="text1"/>
          <w:spacing w:val="-3"/>
          <w:sz w:val="28"/>
          <w:szCs w:val="28"/>
          <w14:textFill>
            <w14:solidFill>
              <w14:schemeClr w14:val="tx1"/>
            </w14:solidFill>
          </w14:textFill>
        </w:rPr>
        <w:t>法》及国家各级药品监督管理机构颁布的法规规章及货物运输要求。</w:t>
      </w:r>
    </w:p>
    <w:p>
      <w:pPr>
        <w:pStyle w:val="13"/>
        <w:numPr>
          <w:ilvl w:val="0"/>
          <w:numId w:val="4"/>
        </w:numPr>
        <w:tabs>
          <w:tab w:val="left" w:pos="1388"/>
        </w:tabs>
        <w:spacing w:line="334" w:lineRule="auto"/>
        <w:ind w:left="116" w:leftChars="0" w:right="-73" w:rightChars="-33" w:firstLine="451" w:firstLineChars="0"/>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9"/>
          <w:sz w:val="28"/>
          <w:szCs w:val="28"/>
          <w14:textFill>
            <w14:solidFill>
              <w14:schemeClr w14:val="tx1"/>
            </w14:solidFill>
          </w14:textFill>
        </w:rPr>
        <w:t>丙方保证以符合</w:t>
      </w:r>
      <w:r>
        <w:rPr>
          <w:rFonts w:hint="eastAsia" w:ascii="仿宋_GB2312" w:hAnsi="仿宋_GB2312" w:eastAsia="仿宋_GB2312" w:cs="仿宋_GB2312"/>
          <w:color w:val="000000" w:themeColor="text1"/>
          <w:sz w:val="28"/>
          <w:szCs w:val="28"/>
          <w14:textFill>
            <w14:solidFill>
              <w14:schemeClr w14:val="tx1"/>
            </w14:solidFill>
          </w14:textFill>
        </w:rPr>
        <w:t>GSP</w:t>
      </w:r>
      <w:r>
        <w:rPr>
          <w:rFonts w:hint="eastAsia" w:ascii="仿宋_GB2312" w:hAnsi="仿宋_GB2312" w:eastAsia="仿宋_GB2312" w:cs="仿宋_GB2312"/>
          <w:color w:val="000000" w:themeColor="text1"/>
          <w:spacing w:val="-7"/>
          <w:sz w:val="28"/>
          <w:szCs w:val="28"/>
          <w14:textFill>
            <w14:solidFill>
              <w14:schemeClr w14:val="tx1"/>
            </w14:solidFill>
          </w14:textFill>
        </w:rPr>
        <w:t>规范及中选品种特性的物流配送方式进行</w:t>
      </w:r>
      <w:r>
        <w:rPr>
          <w:rFonts w:hint="eastAsia" w:ascii="仿宋_GB2312" w:hAnsi="仿宋_GB2312" w:eastAsia="仿宋_GB2312" w:cs="仿宋_GB2312"/>
          <w:color w:val="000000" w:themeColor="text1"/>
          <w:spacing w:val="-10"/>
          <w:sz w:val="28"/>
          <w:szCs w:val="28"/>
          <w14:textFill>
            <w14:solidFill>
              <w14:schemeClr w14:val="tx1"/>
            </w14:solidFill>
          </w14:textFill>
        </w:rPr>
        <w:t>运输，并保证就运输过程中发生的货品灭失、及因包装或运输不善等原因</w:t>
      </w:r>
      <w:r>
        <w:rPr>
          <w:rFonts w:hint="eastAsia" w:ascii="仿宋_GB2312" w:hAnsi="仿宋_GB2312" w:eastAsia="仿宋_GB2312" w:cs="仿宋_GB2312"/>
          <w:color w:val="000000" w:themeColor="text1"/>
          <w:spacing w:val="-8"/>
          <w:sz w:val="28"/>
          <w:szCs w:val="28"/>
          <w14:textFill>
            <w14:solidFill>
              <w14:schemeClr w14:val="tx1"/>
            </w14:solidFill>
          </w14:textFill>
        </w:rPr>
        <w:t>导致货品损坏或变质等承担全部责任，并应对因此给甲方</w:t>
      </w:r>
      <w:r>
        <w:rPr>
          <w:rFonts w:hint="eastAsia" w:ascii="仿宋_GB2312" w:hAnsi="仿宋_GB2312" w:eastAsia="仿宋_GB2312" w:cs="仿宋_GB2312"/>
          <w:color w:val="000000" w:themeColor="text1"/>
          <w:spacing w:val="-3"/>
          <w:sz w:val="28"/>
          <w:szCs w:val="28"/>
          <w14:textFill>
            <w14:solidFill>
              <w14:schemeClr w14:val="tx1"/>
            </w14:solidFill>
          </w14:textFill>
        </w:rPr>
        <w:t>造成的损失承担赔偿责任。</w:t>
      </w:r>
    </w:p>
    <w:p>
      <w:pPr>
        <w:pStyle w:val="13"/>
        <w:numPr>
          <w:ilvl w:val="0"/>
          <w:numId w:val="4"/>
        </w:numPr>
        <w:tabs>
          <w:tab w:val="left" w:pos="1388"/>
        </w:tabs>
        <w:spacing w:line="334" w:lineRule="auto"/>
        <w:ind w:left="116" w:leftChars="0" w:right="-73" w:rightChars="-33" w:firstLine="451" w:firstLineChars="0"/>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丙方负责对本协议附件所列示的医疗机构所需的货品直接进行</w:t>
      </w:r>
      <w:r>
        <w:rPr>
          <w:rFonts w:hint="eastAsia" w:ascii="仿宋_GB2312" w:hAnsi="仿宋_GB2312" w:eastAsia="仿宋_GB2312" w:cs="仿宋_GB2312"/>
          <w:color w:val="000000" w:themeColor="text1"/>
          <w:spacing w:val="-9"/>
          <w:sz w:val="28"/>
          <w:szCs w:val="28"/>
          <w14:textFill>
            <w14:solidFill>
              <w14:schemeClr w14:val="tx1"/>
            </w14:solidFill>
          </w14:textFill>
        </w:rPr>
        <w:t>配送。医疗机构发送的一般订单，丙方应在发送当日回复，并在</w:t>
      </w:r>
      <w:r>
        <w:rPr>
          <w:rFonts w:hint="eastAsia" w:ascii="仿宋_GB2312" w:hAnsi="仿宋_GB2312" w:eastAsia="仿宋_GB2312" w:cs="仿宋_GB2312"/>
          <w:color w:val="000000" w:themeColor="text1"/>
          <w:sz w:val="28"/>
          <w:szCs w:val="28"/>
          <w14:textFill>
            <w14:solidFill>
              <w14:schemeClr w14:val="tx1"/>
            </w14:solidFill>
          </w14:textFill>
        </w:rPr>
        <w:t>订单发送时间起48小时内完成配送；紧急订单，应在订单发送时间起城市2小时、农村4小时内完成配送；丙方配送交货地点由甲方指定。</w:t>
      </w:r>
    </w:p>
    <w:p>
      <w:pPr>
        <w:pStyle w:val="13"/>
        <w:numPr>
          <w:ilvl w:val="0"/>
          <w:numId w:val="4"/>
        </w:numPr>
        <w:tabs>
          <w:tab w:val="left" w:pos="1342"/>
        </w:tabs>
        <w:spacing w:line="334" w:lineRule="auto"/>
        <w:ind w:left="116" w:leftChars="0" w:right="-73" w:rightChars="-33" w:firstLine="451" w:firstLineChars="0"/>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20"/>
          <w:sz w:val="28"/>
          <w:szCs w:val="28"/>
          <w14:textFill>
            <w14:solidFill>
              <w14:schemeClr w14:val="tx1"/>
            </w14:solidFill>
          </w14:textFill>
        </w:rPr>
        <w:t>交货时医疗机构有权要求丙方提供相关法律法规规定的证件、材料</w:t>
      </w:r>
      <w:r>
        <w:rPr>
          <w:rFonts w:hint="eastAsia" w:ascii="仿宋_GB2312" w:hAnsi="仿宋_GB2312" w:eastAsia="仿宋_GB2312" w:cs="仿宋_GB2312"/>
          <w:color w:val="000000" w:themeColor="text1"/>
          <w:spacing w:val="-13"/>
          <w:sz w:val="28"/>
          <w:szCs w:val="28"/>
          <w14:textFill>
            <w14:solidFill>
              <w14:schemeClr w14:val="tx1"/>
            </w14:solidFill>
          </w14:textFill>
        </w:rPr>
        <w:t>、票据等书面文件。医疗机构认为有必要的，有权要求丙方就药品供货渠道的合法性进行进一步的说明或提供有效的书面证明材料。若丙方向医疗机构提供非法渠道来源的药品，则视为欺诈并承担相应的赔偿责任。同时，甲方</w:t>
      </w:r>
      <w:r>
        <w:rPr>
          <w:rFonts w:hint="eastAsia" w:ascii="仿宋_GB2312" w:hAnsi="仿宋_GB2312" w:eastAsia="仿宋_GB2312" w:cs="仿宋_GB2312"/>
          <w:color w:val="000000" w:themeColor="text1"/>
          <w:spacing w:val="-15"/>
          <w:sz w:val="28"/>
          <w:szCs w:val="28"/>
          <w14:textFill>
            <w14:solidFill>
              <w14:schemeClr w14:val="tx1"/>
            </w14:solidFill>
          </w14:textFill>
        </w:rPr>
        <w:t>保留依据现行法律法规追究其他责任的权利。</w:t>
      </w:r>
    </w:p>
    <w:p>
      <w:pPr>
        <w:pStyle w:val="13"/>
        <w:numPr>
          <w:ilvl w:val="0"/>
          <w:numId w:val="4"/>
        </w:numPr>
        <w:tabs>
          <w:tab w:val="left" w:pos="1388"/>
        </w:tabs>
        <w:spacing w:line="334" w:lineRule="auto"/>
        <w:ind w:left="116" w:leftChars="0" w:right="-73" w:rightChars="-33" w:firstLine="451" w:firstLineChars="0"/>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中选品种交货时应货票同行，并严格按照法定的运输管理要求</w:t>
      </w:r>
      <w:r>
        <w:rPr>
          <w:rFonts w:hint="eastAsia" w:ascii="仿宋_GB2312" w:hAnsi="仿宋_GB2312" w:eastAsia="仿宋_GB2312" w:cs="仿宋_GB2312"/>
          <w:color w:val="000000" w:themeColor="text1"/>
          <w:spacing w:val="-11"/>
          <w:sz w:val="28"/>
          <w:szCs w:val="28"/>
          <w14:textFill>
            <w14:solidFill>
              <w14:schemeClr w14:val="tx1"/>
            </w14:solidFill>
          </w14:textFill>
        </w:rPr>
        <w:t>及药品储存、包装标准等将中选品种按时发运给医疗机构，医疗机构收到</w:t>
      </w:r>
      <w:r>
        <w:rPr>
          <w:rFonts w:hint="eastAsia" w:ascii="仿宋_GB2312" w:hAnsi="仿宋_GB2312" w:eastAsia="仿宋_GB2312" w:cs="仿宋_GB2312"/>
          <w:color w:val="000000" w:themeColor="text1"/>
          <w:spacing w:val="-17"/>
          <w:sz w:val="28"/>
          <w:szCs w:val="28"/>
          <w14:textFill>
            <w14:solidFill>
              <w14:schemeClr w14:val="tx1"/>
            </w14:solidFill>
          </w14:textFill>
        </w:rPr>
        <w:t>丙方供货的中选品种时，应当场清点货品的整体整箱外包装</w:t>
      </w:r>
      <w:r>
        <w:rPr>
          <w:rFonts w:hint="eastAsia" w:ascii="仿宋_GB2312" w:hAnsi="仿宋_GB2312" w:eastAsia="仿宋_GB2312" w:cs="仿宋_GB2312"/>
          <w:color w:val="000000" w:themeColor="text1"/>
          <w:spacing w:val="-3"/>
          <w:sz w:val="28"/>
          <w:szCs w:val="28"/>
          <w14:textFill>
            <w14:solidFill>
              <w14:schemeClr w14:val="tx1"/>
            </w14:solidFill>
          </w14:textFill>
        </w:rPr>
        <w:t>（</w:t>
      </w:r>
      <w:r>
        <w:rPr>
          <w:rFonts w:hint="eastAsia" w:ascii="仿宋_GB2312" w:hAnsi="仿宋_GB2312" w:eastAsia="仿宋_GB2312" w:cs="仿宋_GB2312"/>
          <w:color w:val="000000" w:themeColor="text1"/>
          <w:spacing w:val="-2"/>
          <w:sz w:val="28"/>
          <w:szCs w:val="28"/>
          <w14:textFill>
            <w14:solidFill>
              <w14:schemeClr w14:val="tx1"/>
            </w14:solidFill>
          </w14:textFill>
        </w:rPr>
        <w:t>即大件包装</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pacing w:val="-17"/>
          <w:sz w:val="28"/>
          <w:szCs w:val="28"/>
          <w14:textFill>
            <w14:solidFill>
              <w14:schemeClr w14:val="tx1"/>
            </w14:solidFill>
          </w14:textFill>
        </w:rPr>
        <w:t>是否完好牢固，并书面确认供货数量。医疗机构在接收货品时，发现短少、</w:t>
      </w:r>
      <w:r>
        <w:rPr>
          <w:rFonts w:hint="eastAsia" w:ascii="仿宋_GB2312" w:hAnsi="仿宋_GB2312" w:eastAsia="仿宋_GB2312" w:cs="仿宋_GB2312"/>
          <w:color w:val="000000" w:themeColor="text1"/>
          <w:spacing w:val="-12"/>
          <w:sz w:val="28"/>
          <w:szCs w:val="28"/>
          <w14:textFill>
            <w14:solidFill>
              <w14:schemeClr w14:val="tx1"/>
            </w14:solidFill>
          </w14:textFill>
        </w:rPr>
        <w:t>破损、污染、异形等情形，或有其他不符合法律法规规定的情形，有权拒</w:t>
      </w:r>
      <w:r>
        <w:rPr>
          <w:rFonts w:hint="eastAsia" w:ascii="仿宋_GB2312" w:hAnsi="仿宋_GB2312" w:eastAsia="仿宋_GB2312" w:cs="仿宋_GB2312"/>
          <w:color w:val="000000" w:themeColor="text1"/>
          <w:spacing w:val="-11"/>
          <w:sz w:val="28"/>
          <w:szCs w:val="28"/>
          <w14:textFill>
            <w14:solidFill>
              <w14:schemeClr w14:val="tx1"/>
            </w14:solidFill>
          </w14:textFill>
        </w:rPr>
        <w:t>绝接收，丙方应按照医疗机构的要求及时更换被拒收的中选品种，若因此</w:t>
      </w:r>
      <w:r>
        <w:rPr>
          <w:rFonts w:hint="eastAsia" w:ascii="仿宋_GB2312" w:hAnsi="仿宋_GB2312" w:eastAsia="仿宋_GB2312" w:cs="仿宋_GB2312"/>
          <w:color w:val="000000" w:themeColor="text1"/>
          <w:spacing w:val="-5"/>
          <w:sz w:val="28"/>
          <w:szCs w:val="28"/>
          <w14:textFill>
            <w14:solidFill>
              <w14:schemeClr w14:val="tx1"/>
            </w14:solidFill>
          </w14:textFill>
        </w:rPr>
        <w:t>造成医疗机构损失的，由丙方承担一切损失。</w:t>
      </w:r>
    </w:p>
    <w:p>
      <w:pPr>
        <w:pStyle w:val="13"/>
        <w:numPr>
          <w:ilvl w:val="0"/>
          <w:numId w:val="4"/>
        </w:numPr>
        <w:tabs>
          <w:tab w:val="left" w:pos="1388"/>
        </w:tabs>
        <w:spacing w:line="334" w:lineRule="auto"/>
        <w:ind w:left="116" w:leftChars="0" w:right="-73" w:rightChars="-33" w:firstLine="451" w:firstLineChars="0"/>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丙方承诺不通过第三方购买中选品种，否则将由丙方自行承担</w:t>
      </w:r>
      <w:r>
        <w:rPr>
          <w:rFonts w:hint="eastAsia" w:ascii="仿宋_GB2312" w:hAnsi="仿宋_GB2312" w:eastAsia="仿宋_GB2312" w:cs="仿宋_GB2312"/>
          <w:color w:val="000000" w:themeColor="text1"/>
          <w:spacing w:val="-10"/>
          <w:sz w:val="28"/>
          <w:szCs w:val="28"/>
          <w14:textFill>
            <w14:solidFill>
              <w14:schemeClr w14:val="tx1"/>
            </w14:solidFill>
          </w14:textFill>
        </w:rPr>
        <w:t>因此而产生的相应不利后果，并且甲方保留向丙方索赔</w:t>
      </w:r>
      <w:r>
        <w:rPr>
          <w:rFonts w:hint="eastAsia" w:ascii="仿宋_GB2312" w:hAnsi="仿宋_GB2312" w:eastAsia="仿宋_GB2312" w:cs="仿宋_GB2312"/>
          <w:color w:val="000000" w:themeColor="text1"/>
          <w:spacing w:val="-4"/>
          <w:sz w:val="28"/>
          <w:szCs w:val="28"/>
          <w14:textFill>
            <w14:solidFill>
              <w14:schemeClr w14:val="tx1"/>
            </w14:solidFill>
          </w14:textFill>
        </w:rPr>
        <w:t>或追究丙方其他责任的权利。</w:t>
      </w:r>
    </w:p>
    <w:p>
      <w:pPr>
        <w:pStyle w:val="13"/>
        <w:numPr>
          <w:ilvl w:val="0"/>
          <w:numId w:val="4"/>
        </w:numPr>
        <w:tabs>
          <w:tab w:val="left" w:pos="1388"/>
        </w:tabs>
        <w:spacing w:line="334" w:lineRule="auto"/>
        <w:ind w:left="116" w:leftChars="0" w:right="-73" w:rightChars="-33" w:firstLine="451" w:firstLineChars="0"/>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除非甲方对包装另有规定，乙方、丙方提供</w:t>
      </w:r>
      <w:r>
        <w:rPr>
          <w:rFonts w:hint="eastAsia" w:ascii="仿宋_GB2312" w:hAnsi="仿宋_GB2312" w:eastAsia="仿宋_GB2312" w:cs="仿宋_GB2312"/>
          <w:color w:val="000000" w:themeColor="text1"/>
          <w:spacing w:val="3"/>
          <w:sz w:val="28"/>
          <w:szCs w:val="28"/>
          <w14:textFill>
            <w14:solidFill>
              <w14:schemeClr w14:val="tx1"/>
            </w14:solidFill>
          </w14:textFill>
        </w:rPr>
        <w:t>的全部药品均应按相关法律法规规定及根据药品特性所需的标准保护措</w:t>
      </w:r>
      <w:r>
        <w:rPr>
          <w:rFonts w:hint="eastAsia" w:ascii="仿宋_GB2312" w:hAnsi="仿宋_GB2312" w:eastAsia="仿宋_GB2312" w:cs="仿宋_GB2312"/>
          <w:color w:val="000000" w:themeColor="text1"/>
          <w:spacing w:val="-10"/>
          <w:sz w:val="28"/>
          <w:szCs w:val="28"/>
          <w14:textFill>
            <w14:solidFill>
              <w14:schemeClr w14:val="tx1"/>
            </w14:solidFill>
          </w14:textFill>
        </w:rPr>
        <w:t>施进行包装，以防止药品在转运过程中损坏或变质，并应确保药品安全无损运抵医疗机构指定现场。否则，对于因此而造成的一切损失，甲方</w:t>
      </w:r>
      <w:r>
        <w:rPr>
          <w:rFonts w:hint="eastAsia" w:ascii="仿宋_GB2312" w:hAnsi="仿宋_GB2312" w:eastAsia="仿宋_GB2312" w:cs="仿宋_GB2312"/>
          <w:color w:val="000000" w:themeColor="text1"/>
          <w:spacing w:val="-12"/>
          <w:sz w:val="28"/>
          <w:szCs w:val="28"/>
          <w14:textFill>
            <w14:solidFill>
              <w14:schemeClr w14:val="tx1"/>
            </w14:solidFill>
          </w14:textFill>
        </w:rPr>
        <w:t>有权要求乙、丙双方或它们中的任何一方承担包括赔偿责任</w:t>
      </w:r>
      <w:r>
        <w:rPr>
          <w:rFonts w:hint="eastAsia" w:ascii="仿宋_GB2312" w:hAnsi="仿宋_GB2312" w:eastAsia="仿宋_GB2312" w:cs="仿宋_GB2312"/>
          <w:color w:val="000000" w:themeColor="text1"/>
          <w:spacing w:val="-18"/>
          <w:sz w:val="28"/>
          <w:szCs w:val="28"/>
          <w14:textFill>
            <w14:solidFill>
              <w14:schemeClr w14:val="tx1"/>
            </w14:solidFill>
          </w14:textFill>
        </w:rPr>
        <w:t>在内的一切法律责任。而乙、丙双方之间的责任分配应由其自行协商解决，</w:t>
      </w:r>
      <w:r>
        <w:rPr>
          <w:rFonts w:hint="eastAsia" w:ascii="仿宋_GB2312" w:hAnsi="仿宋_GB2312" w:eastAsia="仿宋_GB2312" w:cs="仿宋_GB2312"/>
          <w:color w:val="000000" w:themeColor="text1"/>
          <w:spacing w:val="-5"/>
          <w:sz w:val="28"/>
          <w:szCs w:val="28"/>
          <w14:textFill>
            <w14:solidFill>
              <w14:schemeClr w14:val="tx1"/>
            </w14:solidFill>
          </w14:textFill>
        </w:rPr>
        <w:t>但它们中的任何一方均不得以此对抗甲方和医疗机构的权利主张。</w:t>
      </w:r>
    </w:p>
    <w:p>
      <w:pPr>
        <w:pStyle w:val="13"/>
        <w:numPr>
          <w:ilvl w:val="0"/>
          <w:numId w:val="4"/>
        </w:numPr>
        <w:tabs>
          <w:tab w:val="left" w:pos="1388"/>
        </w:tabs>
        <w:spacing w:line="334" w:lineRule="auto"/>
        <w:ind w:left="0" w:leftChars="0" w:right="-73" w:rightChars="-33" w:firstLine="451" w:firstLineChars="0"/>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每一个包装箱内应附详细装箱单和质量检验报告书。包装、标</w:t>
      </w:r>
      <w:r>
        <w:rPr>
          <w:rFonts w:hint="eastAsia" w:ascii="仿宋_GB2312" w:hAnsi="仿宋_GB2312" w:eastAsia="仿宋_GB2312" w:cs="仿宋_GB2312"/>
          <w:color w:val="000000" w:themeColor="text1"/>
          <w:spacing w:val="-7"/>
          <w:sz w:val="28"/>
          <w:szCs w:val="28"/>
          <w14:textFill>
            <w14:solidFill>
              <w14:schemeClr w14:val="tx1"/>
            </w14:solidFill>
          </w14:textFill>
        </w:rPr>
        <w:t>记和包装箱内外的单据应符合相关法律法规规定的要求、本协议约定的要</w:t>
      </w:r>
      <w:r>
        <w:rPr>
          <w:rFonts w:hint="eastAsia" w:ascii="仿宋_GB2312" w:hAnsi="仿宋_GB2312" w:eastAsia="仿宋_GB2312" w:cs="仿宋_GB2312"/>
          <w:color w:val="000000" w:themeColor="text1"/>
          <w:spacing w:val="-3"/>
          <w:sz w:val="28"/>
          <w:szCs w:val="28"/>
          <w14:textFill>
            <w14:solidFill>
              <w14:schemeClr w14:val="tx1"/>
            </w14:solidFill>
          </w14:textFill>
        </w:rPr>
        <w:t>求，以及甲方提出的其他要求等。</w:t>
      </w:r>
    </w:p>
    <w:p>
      <w:pPr>
        <w:pStyle w:val="13"/>
        <w:numPr>
          <w:ilvl w:val="0"/>
          <w:numId w:val="1"/>
        </w:numPr>
        <w:spacing w:line="334" w:lineRule="auto"/>
        <w:ind w:left="960" w:leftChars="0" w:right="-73" w:rightChars="-33" w:hanging="393" w:firstLineChars="0"/>
        <w:jc w:val="both"/>
        <w:rPr>
          <w:rFonts w:ascii="仿宋_GB2312" w:hAnsi="仿宋_GB2312" w:eastAsia="仿宋_GB2312" w:cs="仿宋_GB2312"/>
          <w:color w:val="000000" w:themeColor="text1"/>
          <w:sz w:val="28"/>
          <w:szCs w:val="28"/>
          <w14:textFill>
            <w14:solidFill>
              <w14:schemeClr w14:val="tx1"/>
            </w14:solidFill>
          </w14:textFill>
        </w:rPr>
      </w:pPr>
      <w:bookmarkStart w:id="12" w:name="9.伴随服务"/>
      <w:bookmarkEnd w:id="12"/>
      <w:r>
        <w:rPr>
          <w:rFonts w:hint="eastAsia" w:ascii="仿宋_GB2312" w:hAnsi="仿宋_GB2312" w:eastAsia="仿宋_GB2312" w:cs="仿宋_GB2312"/>
          <w:color w:val="000000" w:themeColor="text1"/>
          <w:spacing w:val="-2"/>
          <w:sz w:val="28"/>
          <w:szCs w:val="28"/>
          <w14:textFill>
            <w14:solidFill>
              <w14:schemeClr w14:val="tx1"/>
            </w14:solidFill>
          </w14:textFill>
        </w:rPr>
        <w:t>伴随服务</w:t>
      </w:r>
    </w:p>
    <w:p>
      <w:pPr>
        <w:pStyle w:val="4"/>
        <w:spacing w:line="334" w:lineRule="auto"/>
        <w:ind w:left="0" w:leftChars="0" w:right="-73" w:rightChars="-33" w:firstLine="572"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pacing w:val="3"/>
          <w14:textFill>
            <w14:solidFill>
              <w14:schemeClr w14:val="tx1"/>
            </w14:solidFill>
          </w14:textFill>
        </w:rPr>
        <w:t>丙方承担与供货有关的辅助服务和协议中规定丙方应承担的其它义</w:t>
      </w:r>
      <w:r>
        <w:rPr>
          <w:rFonts w:hint="eastAsia" w:ascii="仿宋_GB2312" w:hAnsi="仿宋_GB2312" w:eastAsia="仿宋_GB2312" w:cs="仿宋_GB2312"/>
          <w:color w:val="000000" w:themeColor="text1"/>
          <w:spacing w:val="-11"/>
          <w14:textFill>
            <w14:solidFill>
              <w14:schemeClr w14:val="tx1"/>
            </w14:solidFill>
          </w14:textFill>
        </w:rPr>
        <w:t>务。在本协议履行的过程中，丙方应按甲方要求免费</w:t>
      </w:r>
      <w:r>
        <w:rPr>
          <w:rFonts w:hint="eastAsia" w:ascii="仿宋_GB2312" w:hAnsi="仿宋_GB2312" w:eastAsia="仿宋_GB2312" w:cs="仿宋_GB2312"/>
          <w:color w:val="000000" w:themeColor="text1"/>
          <w:spacing w:val="-5"/>
          <w14:textFill>
            <w14:solidFill>
              <w14:schemeClr w14:val="tx1"/>
            </w14:solidFill>
          </w14:textFill>
        </w:rPr>
        <w:t>提供下列服务中一项或全部：</w:t>
      </w:r>
    </w:p>
    <w:p>
      <w:pPr>
        <w:pStyle w:val="13"/>
        <w:numPr>
          <w:ilvl w:val="0"/>
          <w:numId w:val="5"/>
        </w:numPr>
        <w:spacing w:line="334" w:lineRule="auto"/>
        <w:ind w:left="962" w:leftChars="0" w:right="-73" w:rightChars="-33" w:hanging="395" w:firstLineChars="0"/>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药品的现场搬运或入库。</w:t>
      </w:r>
    </w:p>
    <w:p>
      <w:pPr>
        <w:pStyle w:val="13"/>
        <w:numPr>
          <w:ilvl w:val="0"/>
          <w:numId w:val="5"/>
        </w:numPr>
        <w:spacing w:line="334" w:lineRule="auto"/>
        <w:ind w:left="962" w:leftChars="0" w:right="-73" w:rightChars="-33" w:hanging="395" w:firstLineChars="0"/>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提供药品开箱或分装的用具。</w:t>
      </w:r>
    </w:p>
    <w:p>
      <w:pPr>
        <w:pStyle w:val="13"/>
        <w:numPr>
          <w:ilvl w:val="0"/>
          <w:numId w:val="5"/>
        </w:numPr>
        <w:spacing w:line="334" w:lineRule="auto"/>
        <w:ind w:left="962" w:leftChars="0" w:right="-73" w:rightChars="-33" w:hanging="395" w:firstLineChars="0"/>
        <w:jc w:val="both"/>
        <w:rPr>
          <w:rFonts w:ascii="仿宋_GB2312" w:hAnsi="仿宋_GB2312" w:eastAsia="仿宋_GB2312" w:cs="仿宋_GB2312"/>
          <w:color w:val="000000" w:themeColor="text1"/>
          <w:spacing w:val="-25"/>
          <w:sz w:val="28"/>
          <w:szCs w:val="28"/>
          <w14:textFill>
            <w14:solidFill>
              <w14:schemeClr w14:val="tx1"/>
            </w14:solidFill>
          </w14:textFill>
        </w:rPr>
      </w:pPr>
      <w:r>
        <w:rPr>
          <w:rFonts w:hint="eastAsia" w:ascii="仿宋_GB2312" w:hAnsi="仿宋_GB2312" w:eastAsia="仿宋_GB2312" w:cs="仿宋_GB2312"/>
          <w:color w:val="000000" w:themeColor="text1"/>
          <w:spacing w:val="-25"/>
          <w:sz w:val="28"/>
          <w:szCs w:val="28"/>
          <w14:textFill>
            <w14:solidFill>
              <w14:schemeClr w14:val="tx1"/>
            </w14:solidFill>
          </w14:textFill>
        </w:rPr>
        <w:t>对开箱时发现的破损、近效期药品或其他不合格包装药品及时更换。</w:t>
      </w:r>
    </w:p>
    <w:p>
      <w:pPr>
        <w:pStyle w:val="13"/>
        <w:numPr>
          <w:ilvl w:val="0"/>
          <w:numId w:val="5"/>
        </w:numPr>
        <w:spacing w:line="334" w:lineRule="auto"/>
        <w:ind w:left="962" w:leftChars="0" w:right="-73" w:rightChars="-33" w:hanging="395" w:firstLineChars="0"/>
        <w:jc w:val="both"/>
        <w:rPr>
          <w:rFonts w:ascii="仿宋_GB2312" w:hAnsi="仿宋_GB2312" w:eastAsia="仿宋_GB2312" w:cs="仿宋_GB2312"/>
          <w:color w:val="000000" w:themeColor="text1"/>
          <w:spacing w:val="-25"/>
          <w:sz w:val="28"/>
          <w:szCs w:val="28"/>
          <w14:textFill>
            <w14:solidFill>
              <w14:schemeClr w14:val="tx1"/>
            </w14:solidFill>
          </w14:textFill>
        </w:rPr>
      </w:pPr>
      <w:r>
        <w:rPr>
          <w:rFonts w:hint="eastAsia" w:ascii="仿宋_GB2312" w:hAnsi="仿宋_GB2312" w:eastAsia="仿宋_GB2312" w:cs="仿宋_GB2312"/>
          <w:color w:val="000000" w:themeColor="text1"/>
          <w:spacing w:val="-25"/>
          <w:sz w:val="28"/>
          <w:szCs w:val="28"/>
          <w14:textFill>
            <w14:solidFill>
              <w14:schemeClr w14:val="tx1"/>
            </w14:solidFill>
          </w14:textFill>
        </w:rPr>
        <w:t>交付冷藏药品的，应严格按照冷藏药品储存、运输管理规定，进行全程冷链管理，并按照甲方要求提供冷藏药品运输全程温度监测数据。</w:t>
      </w:r>
    </w:p>
    <w:p>
      <w:pPr>
        <w:pStyle w:val="13"/>
        <w:numPr>
          <w:ilvl w:val="0"/>
          <w:numId w:val="5"/>
        </w:numPr>
        <w:spacing w:line="334" w:lineRule="auto"/>
        <w:ind w:left="962" w:leftChars="0" w:right="-73" w:rightChars="-33" w:hanging="395" w:firstLineChars="0"/>
        <w:jc w:val="both"/>
        <w:rPr>
          <w:rFonts w:ascii="仿宋_GB2312" w:hAnsi="仿宋_GB2312" w:eastAsia="仿宋_GB2312" w:cs="仿宋_GB2312"/>
          <w:color w:val="000000" w:themeColor="text1"/>
          <w:spacing w:val="-25"/>
          <w:sz w:val="28"/>
          <w:szCs w:val="28"/>
          <w14:textFill>
            <w14:solidFill>
              <w14:schemeClr w14:val="tx1"/>
            </w14:solidFill>
          </w14:textFill>
        </w:rPr>
      </w:pPr>
      <w:r>
        <w:rPr>
          <w:rFonts w:hint="eastAsia" w:ascii="仿宋_GB2312" w:hAnsi="仿宋_GB2312" w:eastAsia="仿宋_GB2312" w:cs="仿宋_GB2312"/>
          <w:color w:val="000000" w:themeColor="text1"/>
          <w:spacing w:val="-25"/>
          <w:sz w:val="28"/>
          <w:szCs w:val="28"/>
          <w14:textFill>
            <w14:solidFill>
              <w14:schemeClr w14:val="tx1"/>
            </w14:solidFill>
          </w14:textFill>
        </w:rPr>
        <w:t>其他丙方应提供的相关服务项目。</w:t>
      </w:r>
      <w:bookmarkStart w:id="13" w:name="10.结算"/>
      <w:bookmarkEnd w:id="13"/>
    </w:p>
    <w:p>
      <w:pPr>
        <w:numPr>
          <w:ilvl w:val="0"/>
          <w:numId w:val="1"/>
        </w:numPr>
        <w:tabs>
          <w:tab w:val="left" w:pos="1383"/>
        </w:tabs>
        <w:spacing w:line="334" w:lineRule="auto"/>
        <w:ind w:left="960" w:leftChars="0" w:right="-73" w:rightChars="-33" w:hanging="393" w:firstLineChars="0"/>
        <w:jc w:val="both"/>
        <w:rPr>
          <w:rFonts w:hint="eastAsia" w:ascii="仿宋_GB2312" w:hAnsi="仿宋_GB2312" w:eastAsia="仿宋_GB2312" w:cs="仿宋_GB2312"/>
          <w:color w:val="000000" w:themeColor="text1"/>
          <w:spacing w:val="-3"/>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结算</w:t>
      </w:r>
    </w:p>
    <w:p>
      <w:pPr>
        <w:numPr>
          <w:ilvl w:val="0"/>
          <w:numId w:val="6"/>
        </w:numPr>
        <w:tabs>
          <w:tab w:val="left" w:pos="1383"/>
        </w:tabs>
        <w:spacing w:line="334" w:lineRule="auto"/>
        <w:ind w:right="-73" w:rightChars="-33" w:firstLine="532" w:firstLineChars="200"/>
        <w:jc w:val="both"/>
        <w:rPr>
          <w:rFonts w:hint="eastAsia" w:ascii="仿宋_GB2312" w:hAnsi="仿宋_GB2312" w:eastAsia="仿宋_GB2312" w:cs="仿宋_GB2312"/>
          <w:color w:val="000000" w:themeColor="text1"/>
          <w:spacing w:val="-7"/>
          <w:sz w:val="28"/>
          <w:szCs w:val="28"/>
          <w14:textFill>
            <w14:solidFill>
              <w14:schemeClr w14:val="tx1"/>
            </w14:solidFill>
          </w14:textFill>
        </w:rPr>
      </w:pPr>
      <w:r>
        <w:rPr>
          <w:rFonts w:hint="eastAsia" w:ascii="仿宋_GB2312" w:hAnsi="仿宋_GB2312" w:eastAsia="仿宋_GB2312" w:cs="仿宋_GB2312"/>
          <w:color w:val="000000" w:themeColor="text1"/>
          <w:spacing w:val="-7"/>
          <w:sz w:val="28"/>
          <w:szCs w:val="28"/>
          <w14:textFill>
            <w14:solidFill>
              <w14:schemeClr w14:val="tx1"/>
            </w14:solidFill>
          </w14:textFill>
        </w:rPr>
        <w:t>乙方、丙方同意甲方按照《</w:t>
      </w:r>
      <w:r>
        <w:rPr>
          <w:rFonts w:hint="eastAsia" w:ascii="仿宋_GB2312" w:hAnsi="仿宋_GB2312" w:eastAsia="仿宋_GB2312" w:cs="仿宋_GB2312"/>
          <w:color w:val="000000" w:themeColor="text1"/>
          <w:sz w:val="28"/>
          <w:szCs w:val="28"/>
          <w14:textFill>
            <w14:solidFill>
              <w14:schemeClr w14:val="tx1"/>
            </w14:solidFill>
          </w14:textFill>
        </w:rPr>
        <w:t>宁夏回族自治区国家组织药品集中采购中选药品货款预付委托协议书</w:t>
      </w:r>
      <w:r>
        <w:rPr>
          <w:rFonts w:hint="eastAsia" w:ascii="仿宋_GB2312" w:hAnsi="仿宋_GB2312" w:eastAsia="仿宋_GB2312" w:cs="仿宋_GB2312"/>
          <w:color w:val="000000" w:themeColor="text1"/>
          <w:spacing w:val="-7"/>
          <w:sz w:val="28"/>
          <w:szCs w:val="28"/>
          <w14:textFill>
            <w14:solidFill>
              <w14:schemeClr w14:val="tx1"/>
            </w14:solidFill>
          </w14:textFill>
        </w:rPr>
        <w:t>》约定的付款方式及时间，委托</w:t>
      </w:r>
      <w:r>
        <w:rPr>
          <w:rFonts w:ascii="仿宋_GB2312" w:hAnsi="仿宋_GB2312" w:eastAsia="仿宋_GB2312" w:cs="仿宋_GB2312"/>
          <w:color w:val="000000" w:themeColor="text1"/>
          <w:spacing w:val="-7"/>
          <w:sz w:val="28"/>
          <w:szCs w:val="28"/>
          <w14:textFill>
            <w14:solidFill>
              <w14:schemeClr w14:val="tx1"/>
            </w14:solidFill>
          </w14:textFill>
        </w:rPr>
        <w:t>医保经办机构</w:t>
      </w:r>
      <w:r>
        <w:rPr>
          <w:rFonts w:hint="eastAsia" w:ascii="仿宋_GB2312" w:hAnsi="仿宋_GB2312" w:eastAsia="仿宋_GB2312" w:cs="仿宋_GB2312"/>
          <w:color w:val="000000" w:themeColor="text1"/>
          <w:spacing w:val="-7"/>
          <w:sz w:val="28"/>
          <w:szCs w:val="28"/>
          <w14:textFill>
            <w14:solidFill>
              <w14:schemeClr w14:val="tx1"/>
            </w14:solidFill>
          </w14:textFill>
        </w:rPr>
        <w:t>支付本协议项下的款项，乙方、丙方完全知悉《</w:t>
      </w:r>
      <w:r>
        <w:rPr>
          <w:rFonts w:hint="eastAsia" w:ascii="仿宋_GB2312" w:hAnsi="仿宋_GB2312" w:eastAsia="仿宋_GB2312" w:cs="仿宋_GB2312"/>
          <w:color w:val="000000" w:themeColor="text1"/>
          <w:sz w:val="28"/>
          <w:szCs w:val="28"/>
          <w14:textFill>
            <w14:solidFill>
              <w14:schemeClr w14:val="tx1"/>
            </w14:solidFill>
          </w14:textFill>
        </w:rPr>
        <w:t>宁夏回族自治区国家组织药品集中采购中选药品货款预付委托协议书</w:t>
      </w:r>
      <w:r>
        <w:rPr>
          <w:rFonts w:hint="eastAsia" w:ascii="仿宋_GB2312" w:hAnsi="仿宋_GB2312" w:eastAsia="仿宋_GB2312" w:cs="仿宋_GB2312"/>
          <w:color w:val="000000" w:themeColor="text1"/>
          <w:spacing w:val="-7"/>
          <w:sz w:val="28"/>
          <w:szCs w:val="28"/>
          <w14:textFill>
            <w14:solidFill>
              <w14:schemeClr w14:val="tx1"/>
            </w14:solidFill>
          </w14:textFill>
        </w:rPr>
        <w:t>》约定的内容，甲方的付款方式不影响乙方按照本协议约定供应药品的进度。甲方按照《</w:t>
      </w:r>
      <w:r>
        <w:rPr>
          <w:rFonts w:hint="eastAsia" w:ascii="仿宋_GB2312" w:hAnsi="仿宋_GB2312" w:eastAsia="仿宋_GB2312" w:cs="仿宋_GB2312"/>
          <w:color w:val="000000" w:themeColor="text1"/>
          <w:sz w:val="28"/>
          <w:szCs w:val="28"/>
          <w14:textFill>
            <w14:solidFill>
              <w14:schemeClr w14:val="tx1"/>
            </w14:solidFill>
          </w14:textFill>
        </w:rPr>
        <w:t>宁夏回族自治区国家组织药品集中采购中选药品货款预付委托协议书</w:t>
      </w:r>
      <w:r>
        <w:rPr>
          <w:rFonts w:hint="eastAsia" w:ascii="仿宋_GB2312" w:hAnsi="仿宋_GB2312" w:eastAsia="仿宋_GB2312" w:cs="仿宋_GB2312"/>
          <w:color w:val="000000" w:themeColor="text1"/>
          <w:spacing w:val="-7"/>
          <w:sz w:val="28"/>
          <w:szCs w:val="28"/>
          <w14:textFill>
            <w14:solidFill>
              <w14:schemeClr w14:val="tx1"/>
            </w14:solidFill>
          </w14:textFill>
        </w:rPr>
        <w:t>》约定，对协议约定任务量内的药品货款按期足额归还医保经办机构。</w:t>
      </w:r>
    </w:p>
    <w:p>
      <w:pPr>
        <w:numPr>
          <w:ilvl w:val="0"/>
          <w:numId w:val="6"/>
        </w:numPr>
        <w:tabs>
          <w:tab w:val="left" w:pos="1383"/>
        </w:tabs>
        <w:spacing w:line="334" w:lineRule="auto"/>
        <w:ind w:left="0" w:leftChars="0" w:right="-73" w:rightChars="-33" w:firstLine="532" w:firstLineChars="200"/>
        <w:jc w:val="both"/>
        <w:rPr>
          <w:rFonts w:hint="eastAsia" w:ascii="仿宋_GB2312" w:hAnsi="仿宋_GB2312" w:eastAsia="仿宋_GB2312" w:cs="仿宋_GB2312"/>
          <w:color w:val="000000" w:themeColor="text1"/>
          <w:spacing w:val="-7"/>
          <w:sz w:val="28"/>
          <w:szCs w:val="28"/>
          <w:lang w:val="en-US"/>
          <w14:textFill>
            <w14:solidFill>
              <w14:schemeClr w14:val="tx1"/>
            </w14:solidFill>
          </w14:textFill>
        </w:rPr>
      </w:pPr>
      <w:r>
        <w:rPr>
          <w:rFonts w:hint="eastAsia" w:ascii="仿宋_GB2312" w:hAnsi="仿宋_GB2312" w:eastAsia="仿宋_GB2312" w:cs="仿宋_GB2312"/>
          <w:color w:val="000000" w:themeColor="text1"/>
          <w:spacing w:val="-7"/>
          <w:sz w:val="28"/>
          <w:szCs w:val="28"/>
          <w14:textFill>
            <w14:solidFill>
              <w14:schemeClr w14:val="tx1"/>
            </w14:solidFill>
          </w14:textFill>
        </w:rPr>
        <w:t>在协议期内，甲方采购超出约定采购量之外的药品货款，应在验收合格起</w:t>
      </w:r>
      <w:r>
        <w:rPr>
          <w:rFonts w:hint="eastAsia" w:ascii="仿宋_GB2312" w:hAnsi="仿宋_GB2312" w:eastAsia="仿宋_GB2312" w:cs="仿宋_GB2312"/>
          <w:color w:val="000000" w:themeColor="text1"/>
          <w:spacing w:val="-7"/>
          <w:sz w:val="28"/>
          <w:szCs w:val="28"/>
          <w:lang w:val="en-US"/>
          <w14:textFill>
            <w14:solidFill>
              <w14:schemeClr w14:val="tx1"/>
            </w14:solidFill>
          </w14:textFill>
        </w:rPr>
        <w:t>30日内向丙方支付货款。</w:t>
      </w:r>
    </w:p>
    <w:p>
      <w:pPr>
        <w:numPr>
          <w:ilvl w:val="0"/>
          <w:numId w:val="6"/>
        </w:numPr>
        <w:tabs>
          <w:tab w:val="left" w:pos="1383"/>
        </w:tabs>
        <w:spacing w:line="334" w:lineRule="auto"/>
        <w:ind w:left="0" w:leftChars="0" w:right="-73" w:rightChars="-33" w:firstLine="560" w:firstLineChars="200"/>
        <w:jc w:val="both"/>
        <w:rPr>
          <w:rFonts w:hint="eastAsia" w:ascii="仿宋_GB2312" w:hAnsi="仿宋_GB2312" w:eastAsia="仿宋_GB2312" w:cs="仿宋_GB2312"/>
          <w:color w:val="000000" w:themeColor="text1"/>
          <w:sz w:val="28"/>
          <w:szCs w:val="28"/>
          <w:lang w:val="en-US" w:bidi="ar"/>
          <w14:textFill>
            <w14:solidFill>
              <w14:schemeClr w14:val="tx1"/>
            </w14:solidFill>
          </w14:textFill>
        </w:rPr>
      </w:pPr>
      <w:r>
        <w:rPr>
          <w:rFonts w:hint="eastAsia" w:ascii="仿宋_GB2312" w:hAnsi="仿宋_GB2312" w:eastAsia="仿宋_GB2312" w:cs="仿宋_GB2312"/>
          <w:color w:val="000000" w:themeColor="text1"/>
          <w:sz w:val="28"/>
          <w:szCs w:val="28"/>
          <w:lang w:val="en-US" w:bidi="ar"/>
          <w14:textFill>
            <w14:solidFill>
              <w14:schemeClr w14:val="tx1"/>
            </w14:solidFill>
          </w14:textFill>
        </w:rPr>
        <w:t>发票开具：丙方应对中选药品开具发票和清单，随货同行将合法发票送达甲方。甲方接收丙方配送的中选药品后，应在收到合法发票后按规定通过采购平台进行发票交付确认。</w:t>
      </w:r>
    </w:p>
    <w:p>
      <w:pPr>
        <w:numPr>
          <w:numId w:val="0"/>
        </w:numPr>
        <w:tabs>
          <w:tab w:val="left" w:pos="1383"/>
        </w:tabs>
        <w:spacing w:line="334" w:lineRule="auto"/>
        <w:ind w:right="-73" w:rightChars="-33" w:firstLine="560" w:firstLineChars="200"/>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bidi="ar"/>
          <w14:textFill>
            <w14:solidFill>
              <w14:schemeClr w14:val="tx1"/>
            </w14:solidFill>
          </w14:textFill>
        </w:rPr>
        <w:t>（4）采购平台在当期应付货款到期前7日对甲方发出缴款提醒通知，告知其应 付货款的最后支付时间。</w:t>
      </w:r>
    </w:p>
    <w:p>
      <w:pPr>
        <w:pStyle w:val="13"/>
        <w:numPr>
          <w:numId w:val="0"/>
        </w:numPr>
        <w:tabs>
          <w:tab w:val="left" w:pos="1104"/>
        </w:tabs>
        <w:spacing w:line="334" w:lineRule="auto"/>
        <w:ind w:right="-73" w:rightChars="-33" w:firstLine="552" w:firstLineChars="200"/>
        <w:jc w:val="both"/>
        <w:rPr>
          <w:rFonts w:ascii="仿宋_GB2312" w:hAnsi="仿宋_GB2312" w:eastAsia="仿宋_GB2312" w:cs="仿宋_GB2312"/>
          <w:color w:val="000000" w:themeColor="text1"/>
          <w:sz w:val="28"/>
          <w:szCs w:val="28"/>
          <w14:textFill>
            <w14:solidFill>
              <w14:schemeClr w14:val="tx1"/>
            </w14:solidFill>
          </w14:textFill>
        </w:rPr>
      </w:pPr>
      <w:bookmarkStart w:id="14" w:name="11.退换货"/>
      <w:bookmarkEnd w:id="14"/>
      <w:r>
        <w:rPr>
          <w:rFonts w:hint="eastAsia" w:ascii="仿宋_GB2312" w:hAnsi="仿宋_GB2312" w:eastAsia="仿宋_GB2312" w:cs="仿宋_GB2312"/>
          <w:color w:val="000000" w:themeColor="text1"/>
          <w:spacing w:val="-2"/>
          <w:sz w:val="28"/>
          <w:szCs w:val="28"/>
          <w:lang w:val="en-US" w:eastAsia="zh-CN"/>
          <w14:textFill>
            <w14:solidFill>
              <w14:schemeClr w14:val="tx1"/>
            </w14:solidFill>
          </w14:textFill>
        </w:rPr>
        <w:t>10.</w:t>
      </w:r>
      <w:r>
        <w:rPr>
          <w:rFonts w:hint="eastAsia" w:ascii="仿宋_GB2312" w:hAnsi="仿宋_GB2312" w:eastAsia="仿宋_GB2312" w:cs="仿宋_GB2312"/>
          <w:color w:val="000000" w:themeColor="text1"/>
          <w:spacing w:val="-2"/>
          <w:sz w:val="28"/>
          <w:szCs w:val="28"/>
          <w14:textFill>
            <w14:solidFill>
              <w14:schemeClr w14:val="tx1"/>
            </w14:solidFill>
          </w14:textFill>
        </w:rPr>
        <w:t>退换货</w:t>
      </w:r>
    </w:p>
    <w:p>
      <w:pPr>
        <w:pStyle w:val="13"/>
        <w:numPr>
          <w:ilvl w:val="0"/>
          <w:numId w:val="7"/>
        </w:numPr>
        <w:tabs>
          <w:tab w:val="left" w:pos="1388"/>
        </w:tabs>
        <w:spacing w:line="334" w:lineRule="auto"/>
        <w:ind w:left="16" w:leftChars="0" w:right="-73" w:rightChars="-33" w:firstLine="644" w:firstLineChars="0"/>
        <w:jc w:val="both"/>
        <w:rPr>
          <w:rFonts w:ascii="仿宋_GB2312" w:hAnsi="仿宋_GB2312" w:eastAsia="仿宋_GB2312" w:cs="仿宋_GB2312"/>
          <w:color w:val="000000" w:themeColor="text1"/>
          <w:spacing w:val="-3"/>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若因中选品种本身的质量问题发生医疗机构退货的情况，乙方</w:t>
      </w:r>
      <w:r>
        <w:rPr>
          <w:rFonts w:hint="eastAsia" w:ascii="仿宋_GB2312" w:hAnsi="仿宋_GB2312" w:eastAsia="仿宋_GB2312" w:cs="仿宋_GB2312"/>
          <w:color w:val="000000" w:themeColor="text1"/>
          <w:spacing w:val="3"/>
          <w:sz w:val="28"/>
          <w:szCs w:val="28"/>
          <w14:textFill>
            <w14:solidFill>
              <w14:schemeClr w14:val="tx1"/>
            </w14:solidFill>
          </w14:textFill>
        </w:rPr>
        <w:t>应按照医疗机构的要求无条件且及时退换货并承担由此产生的一切费用</w:t>
      </w:r>
      <w:r>
        <w:rPr>
          <w:rFonts w:hint="eastAsia" w:ascii="仿宋_GB2312" w:hAnsi="仿宋_GB2312" w:eastAsia="仿宋_GB2312" w:cs="仿宋_GB2312"/>
          <w:color w:val="000000" w:themeColor="text1"/>
          <w:sz w:val="28"/>
          <w:szCs w:val="28"/>
          <w14:textFill>
            <w14:solidFill>
              <w14:schemeClr w14:val="tx1"/>
            </w14:solidFill>
          </w14:textFill>
        </w:rPr>
        <w:t>（包括但不限于运输费用），而且由此所导致的所有纠纷、赔偿及其他责任等均由乙方自行承担。若甲方或医疗机构因此被索赔或被追究任何法律责任，均应由乙方承担最终责任。同时，乙方承诺以现金形式补偿甲方或医疗机构因此而遭受的所有损失。</w:t>
      </w:r>
    </w:p>
    <w:p>
      <w:pPr>
        <w:pStyle w:val="13"/>
        <w:numPr>
          <w:ilvl w:val="0"/>
          <w:numId w:val="7"/>
        </w:numPr>
        <w:tabs>
          <w:tab w:val="left" w:pos="1388"/>
        </w:tabs>
        <w:spacing w:line="334" w:lineRule="auto"/>
        <w:ind w:left="16" w:leftChars="0" w:right="-73" w:rightChars="-33" w:firstLine="644" w:firstLineChars="0"/>
        <w:jc w:val="both"/>
        <w:rPr>
          <w:rFonts w:ascii="仿宋_GB2312" w:hAnsi="仿宋_GB2312" w:eastAsia="仿宋_GB2312" w:cs="仿宋_GB2312"/>
          <w:color w:val="000000" w:themeColor="text1"/>
          <w:spacing w:val="-3"/>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乙方供货需符合质量验收的标准，若在丙方收货的当天，中选</w:t>
      </w:r>
      <w:r>
        <w:rPr>
          <w:rFonts w:hint="eastAsia" w:ascii="仿宋_GB2312" w:hAnsi="仿宋_GB2312" w:eastAsia="仿宋_GB2312" w:cs="仿宋_GB2312"/>
          <w:color w:val="000000" w:themeColor="text1"/>
          <w:spacing w:val="-11"/>
          <w:sz w:val="28"/>
          <w:szCs w:val="28"/>
          <w14:textFill>
            <w14:solidFill>
              <w14:schemeClr w14:val="tx1"/>
            </w14:solidFill>
          </w14:textFill>
        </w:rPr>
        <w:t>品种的剩余有效期不符合本协议约定，丙方在收货后的</w:t>
      </w:r>
      <w:r>
        <w:rPr>
          <w:rFonts w:hint="eastAsia" w:ascii="仿宋_GB2312" w:hAnsi="仿宋_GB2312" w:eastAsia="仿宋_GB2312" w:cs="仿宋_GB2312"/>
          <w:color w:val="000000" w:themeColor="text1"/>
          <w:sz w:val="28"/>
          <w:szCs w:val="28"/>
          <w14:textFill>
            <w14:solidFill>
              <w14:schemeClr w14:val="tx1"/>
            </w14:solidFill>
          </w14:textFill>
        </w:rPr>
        <w:t>5</w:t>
      </w:r>
      <w:r>
        <w:rPr>
          <w:rFonts w:hint="eastAsia" w:ascii="仿宋_GB2312" w:hAnsi="仿宋_GB2312" w:eastAsia="仿宋_GB2312" w:cs="仿宋_GB2312"/>
          <w:color w:val="000000" w:themeColor="text1"/>
          <w:spacing w:val="-11"/>
          <w:sz w:val="28"/>
          <w:szCs w:val="28"/>
          <w14:textFill>
            <w14:solidFill>
              <w14:schemeClr w14:val="tx1"/>
            </w14:solidFill>
          </w14:textFill>
        </w:rPr>
        <w:t>个工作日内有权</w:t>
      </w:r>
      <w:r>
        <w:rPr>
          <w:rFonts w:hint="eastAsia" w:ascii="仿宋_GB2312" w:hAnsi="仿宋_GB2312" w:eastAsia="仿宋_GB2312" w:cs="仿宋_GB2312"/>
          <w:color w:val="000000" w:themeColor="text1"/>
          <w:spacing w:val="-7"/>
          <w:sz w:val="28"/>
          <w:szCs w:val="28"/>
          <w14:textFill>
            <w14:solidFill>
              <w14:schemeClr w14:val="tx1"/>
            </w14:solidFill>
          </w14:textFill>
        </w:rPr>
        <w:t>要求乙方对这类中选品种作出退货或换货的处理，甲方、医疗机构亦有权</w:t>
      </w:r>
      <w:r>
        <w:rPr>
          <w:rFonts w:hint="eastAsia" w:ascii="仿宋_GB2312" w:hAnsi="仿宋_GB2312" w:eastAsia="仿宋_GB2312" w:cs="仿宋_GB2312"/>
          <w:color w:val="000000" w:themeColor="text1"/>
          <w:spacing w:val="-3"/>
          <w:sz w:val="28"/>
          <w:szCs w:val="28"/>
          <w14:textFill>
            <w14:solidFill>
              <w14:schemeClr w14:val="tx1"/>
            </w14:solidFill>
          </w14:textFill>
        </w:rPr>
        <w:t>通过丙方向乙方行使此权利，</w:t>
      </w:r>
      <w:r>
        <w:rPr>
          <w:rFonts w:ascii="仿宋_GB2312" w:hAnsi="仿宋_GB2312" w:eastAsia="仿宋_GB2312" w:cs="仿宋_GB2312"/>
          <w:color w:val="000000" w:themeColor="text1"/>
          <w:spacing w:val="-3"/>
          <w:sz w:val="28"/>
          <w:szCs w:val="28"/>
          <w14:textFill>
            <w14:solidFill>
              <w14:schemeClr w14:val="tx1"/>
            </w14:solidFill>
          </w14:textFill>
        </w:rPr>
        <w:t>乙方应当无条件配合甲方行使此权利。</w:t>
      </w:r>
    </w:p>
    <w:p>
      <w:pPr>
        <w:pStyle w:val="13"/>
        <w:numPr>
          <w:ilvl w:val="0"/>
          <w:numId w:val="8"/>
        </w:numPr>
        <w:tabs>
          <w:tab w:val="left" w:pos="1245"/>
        </w:tabs>
        <w:spacing w:line="334" w:lineRule="auto"/>
        <w:ind w:left="3" w:leftChars="0" w:right="-73" w:rightChars="-33" w:firstLine="657" w:firstLineChars="0"/>
        <w:jc w:val="both"/>
        <w:rPr>
          <w:rFonts w:ascii="仿宋_GB2312" w:hAnsi="仿宋_GB2312" w:eastAsia="仿宋_GB2312" w:cs="仿宋_GB2312"/>
          <w:color w:val="000000" w:themeColor="text1"/>
          <w:sz w:val="28"/>
          <w:szCs w:val="28"/>
          <w14:textFill>
            <w14:solidFill>
              <w14:schemeClr w14:val="tx1"/>
            </w14:solidFill>
          </w14:textFill>
        </w:rPr>
      </w:pPr>
      <w:bookmarkStart w:id="15" w:name="_12.召回"/>
      <w:bookmarkEnd w:id="15"/>
      <w:r>
        <w:rPr>
          <w:rFonts w:hint="eastAsia" w:ascii="仿宋_GB2312" w:hAnsi="仿宋_GB2312" w:eastAsia="仿宋_GB2312" w:cs="仿宋_GB2312"/>
          <w:color w:val="000000" w:themeColor="text1"/>
          <w:sz w:val="28"/>
          <w:szCs w:val="28"/>
          <w14:textFill>
            <w14:solidFill>
              <w14:schemeClr w14:val="tx1"/>
            </w14:solidFill>
          </w14:textFill>
        </w:rPr>
        <w:t>召回</w:t>
      </w:r>
    </w:p>
    <w:p>
      <w:pPr>
        <w:pStyle w:val="13"/>
        <w:numPr>
          <w:ilvl w:val="0"/>
          <w:numId w:val="9"/>
        </w:numPr>
        <w:tabs>
          <w:tab w:val="left" w:pos="1388"/>
        </w:tabs>
        <w:spacing w:line="334" w:lineRule="auto"/>
        <w:ind w:left="116" w:leftChars="0" w:right="-73" w:rightChars="-33" w:firstLine="451" w:firstLineChars="0"/>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在本协议履行过程中，若乙方自行或者根据中国政府相关部门</w:t>
      </w:r>
      <w:r>
        <w:rPr>
          <w:rFonts w:hint="eastAsia" w:ascii="仿宋_GB2312" w:hAnsi="仿宋_GB2312" w:eastAsia="仿宋_GB2312" w:cs="仿宋_GB2312"/>
          <w:color w:val="000000" w:themeColor="text1"/>
          <w:spacing w:val="-9"/>
          <w:sz w:val="28"/>
          <w:szCs w:val="28"/>
          <w14:textFill>
            <w14:solidFill>
              <w14:schemeClr w14:val="tx1"/>
            </w14:solidFill>
          </w14:textFill>
        </w:rPr>
        <w:t>的要求召回中选品种时，乙方应当及时通知甲、丙方以及医疗机构，并作</w:t>
      </w:r>
      <w:r>
        <w:rPr>
          <w:rFonts w:hint="eastAsia" w:ascii="仿宋_GB2312" w:hAnsi="仿宋_GB2312" w:eastAsia="仿宋_GB2312" w:cs="仿宋_GB2312"/>
          <w:color w:val="000000" w:themeColor="text1"/>
          <w:spacing w:val="-11"/>
          <w:sz w:val="28"/>
          <w:szCs w:val="28"/>
          <w14:textFill>
            <w14:solidFill>
              <w14:schemeClr w14:val="tx1"/>
            </w14:solidFill>
          </w14:textFill>
        </w:rPr>
        <w:t>出相应说明。乙方、丙方应向甲方、医疗机构提供必要的协助配合。除非</w:t>
      </w:r>
      <w:r>
        <w:rPr>
          <w:rFonts w:hint="eastAsia" w:ascii="仿宋_GB2312" w:hAnsi="仿宋_GB2312" w:eastAsia="仿宋_GB2312" w:cs="仿宋_GB2312"/>
          <w:color w:val="000000" w:themeColor="text1"/>
          <w:spacing w:val="-9"/>
          <w:sz w:val="28"/>
          <w:szCs w:val="28"/>
          <w14:textFill>
            <w14:solidFill>
              <w14:schemeClr w14:val="tx1"/>
            </w14:solidFill>
          </w14:textFill>
        </w:rPr>
        <w:t>本次召回由丙方的过错造成，否则所有召回的中选品种均退回乙方，且因</w:t>
      </w:r>
      <w:r>
        <w:rPr>
          <w:rFonts w:hint="eastAsia" w:ascii="仿宋_GB2312" w:hAnsi="仿宋_GB2312" w:eastAsia="仿宋_GB2312" w:cs="仿宋_GB2312"/>
          <w:color w:val="000000" w:themeColor="text1"/>
          <w:spacing w:val="-8"/>
          <w:sz w:val="28"/>
          <w:szCs w:val="28"/>
          <w14:textFill>
            <w14:solidFill>
              <w14:schemeClr w14:val="tx1"/>
            </w14:solidFill>
          </w14:textFill>
        </w:rPr>
        <w:t>召回而产生的所有费用均由乙方承担；且无论在何种情形下，甲方或医疗</w:t>
      </w:r>
      <w:r>
        <w:rPr>
          <w:rFonts w:hint="eastAsia" w:ascii="仿宋_GB2312" w:hAnsi="仿宋_GB2312" w:eastAsia="仿宋_GB2312" w:cs="仿宋_GB2312"/>
          <w:color w:val="000000" w:themeColor="text1"/>
          <w:spacing w:val="-3"/>
          <w:sz w:val="28"/>
          <w:szCs w:val="28"/>
          <w14:textFill>
            <w14:solidFill>
              <w14:schemeClr w14:val="tx1"/>
            </w14:solidFill>
          </w14:textFill>
        </w:rPr>
        <w:t>机构均不负责承担任何因召回而产生的费用。</w:t>
      </w:r>
    </w:p>
    <w:p>
      <w:pPr>
        <w:pStyle w:val="13"/>
        <w:numPr>
          <w:ilvl w:val="0"/>
          <w:numId w:val="9"/>
        </w:numPr>
        <w:tabs>
          <w:tab w:val="left" w:pos="1388"/>
        </w:tabs>
        <w:spacing w:line="334" w:lineRule="auto"/>
        <w:ind w:left="116" w:leftChars="0" w:right="-73" w:rightChars="-33" w:firstLine="451" w:firstLineChars="0"/>
        <w:jc w:val="both"/>
        <w:rPr>
          <w:rFonts w:ascii="仿宋_GB2312" w:hAnsi="仿宋_GB2312" w:eastAsia="仿宋_GB2312" w:cs="仿宋_GB2312"/>
          <w:color w:val="000000" w:themeColor="text1"/>
          <w:spacing w:val="-16"/>
          <w:sz w:val="28"/>
          <w:szCs w:val="28"/>
          <w14:textFill>
            <w14:solidFill>
              <w14:schemeClr w14:val="tx1"/>
            </w14:solidFill>
          </w14:textFill>
        </w:rPr>
      </w:pPr>
      <w:r>
        <w:rPr>
          <w:rFonts w:hint="eastAsia" w:ascii="仿宋_GB2312" w:hAnsi="仿宋_GB2312" w:eastAsia="仿宋_GB2312" w:cs="仿宋_GB2312"/>
          <w:color w:val="000000" w:themeColor="text1"/>
          <w:spacing w:val="-6"/>
          <w:sz w:val="28"/>
          <w:szCs w:val="28"/>
          <w14:textFill>
            <w14:solidFill>
              <w14:schemeClr w14:val="tx1"/>
            </w14:solidFill>
          </w14:textFill>
        </w:rPr>
        <w:t>乙方在最终召回日期后的</w:t>
      </w:r>
      <w:r>
        <w:rPr>
          <w:rFonts w:hint="eastAsia" w:ascii="仿宋_GB2312" w:hAnsi="仿宋_GB2312" w:eastAsia="仿宋_GB2312" w:cs="仿宋_GB2312"/>
          <w:color w:val="000000" w:themeColor="text1"/>
          <w:sz w:val="28"/>
          <w:szCs w:val="28"/>
          <w14:textFill>
            <w14:solidFill>
              <w14:schemeClr w14:val="tx1"/>
            </w14:solidFill>
          </w14:textFill>
        </w:rPr>
        <w:t>5</w:t>
      </w:r>
      <w:r>
        <w:rPr>
          <w:rFonts w:hint="eastAsia" w:ascii="仿宋_GB2312" w:hAnsi="仿宋_GB2312" w:eastAsia="仿宋_GB2312" w:cs="仿宋_GB2312"/>
          <w:color w:val="000000" w:themeColor="text1"/>
          <w:spacing w:val="-9"/>
          <w:sz w:val="28"/>
          <w:szCs w:val="28"/>
          <w14:textFill>
            <w14:solidFill>
              <w14:schemeClr w14:val="tx1"/>
            </w14:solidFill>
          </w14:textFill>
        </w:rPr>
        <w:t>个工作日内，根据实际召回数量向</w:t>
      </w:r>
      <w:r>
        <w:rPr>
          <w:rFonts w:hint="eastAsia" w:ascii="仿宋_GB2312" w:hAnsi="仿宋_GB2312" w:eastAsia="仿宋_GB2312" w:cs="仿宋_GB2312"/>
          <w:color w:val="000000" w:themeColor="text1"/>
          <w:spacing w:val="-11"/>
          <w:sz w:val="28"/>
          <w:szCs w:val="28"/>
          <w14:textFill>
            <w14:solidFill>
              <w14:schemeClr w14:val="tx1"/>
            </w14:solidFill>
          </w14:textFill>
        </w:rPr>
        <w:t>丙方归还货款，乙方还应同时支付由此给丙方带来的其他费用，该费用包</w:t>
      </w:r>
      <w:r>
        <w:rPr>
          <w:rFonts w:hint="eastAsia" w:ascii="仿宋_GB2312" w:hAnsi="仿宋_GB2312" w:eastAsia="仿宋_GB2312" w:cs="仿宋_GB2312"/>
          <w:color w:val="000000" w:themeColor="text1"/>
          <w:spacing w:val="-12"/>
          <w:sz w:val="28"/>
          <w:szCs w:val="28"/>
          <w14:textFill>
            <w14:solidFill>
              <w14:schemeClr w14:val="tx1"/>
            </w14:solidFill>
          </w14:textFill>
        </w:rPr>
        <w:t>括但不限于：进口关税、进口环节其他费用、仓储保管费和运输费等。</w:t>
      </w:r>
      <w:r>
        <w:rPr>
          <w:rFonts w:hint="eastAsia" w:ascii="仿宋_GB2312" w:hAnsi="仿宋_GB2312" w:eastAsia="仿宋_GB2312" w:cs="仿宋_GB2312"/>
          <w:color w:val="000000" w:themeColor="text1"/>
          <w:spacing w:val="-11"/>
          <w:sz w:val="28"/>
          <w:szCs w:val="28"/>
          <w14:textFill>
            <w14:solidFill>
              <w14:schemeClr w14:val="tx1"/>
            </w14:solidFill>
          </w14:textFill>
        </w:rPr>
        <w:t>如该等召回品从甲方处召回的，乙方按照上述约定向甲方承担责任，</w:t>
      </w:r>
      <w:r>
        <w:rPr>
          <w:rFonts w:hint="eastAsia" w:ascii="仿宋_GB2312" w:hAnsi="仿宋_GB2312" w:eastAsia="仿宋_GB2312" w:cs="仿宋_GB2312"/>
          <w:color w:val="000000" w:themeColor="text1"/>
          <w:spacing w:val="-10"/>
          <w:sz w:val="28"/>
          <w:szCs w:val="28"/>
          <w14:textFill>
            <w14:solidFill>
              <w14:schemeClr w14:val="tx1"/>
            </w14:solidFill>
          </w14:textFill>
        </w:rPr>
        <w:t>甲方</w:t>
      </w:r>
      <w:r>
        <w:rPr>
          <w:rFonts w:hint="eastAsia" w:ascii="仿宋_GB2312" w:hAnsi="仿宋_GB2312" w:eastAsia="仿宋_GB2312" w:cs="仿宋_GB2312"/>
          <w:color w:val="000000" w:themeColor="text1"/>
          <w:spacing w:val="-4"/>
          <w:sz w:val="28"/>
          <w:szCs w:val="28"/>
          <w14:textFill>
            <w14:solidFill>
              <w14:schemeClr w14:val="tx1"/>
            </w14:solidFill>
          </w14:textFill>
        </w:rPr>
        <w:t>有权直接向乙方行使此项权利</w:t>
      </w:r>
      <w:r>
        <w:rPr>
          <w:rFonts w:hint="eastAsia" w:ascii="仿宋_GB2312" w:hAnsi="仿宋_GB2312" w:eastAsia="仿宋_GB2312" w:cs="仿宋_GB2312"/>
          <w:color w:val="000000" w:themeColor="text1"/>
          <w:spacing w:val="-11"/>
          <w:sz w:val="28"/>
          <w:szCs w:val="28"/>
          <w14:textFill>
            <w14:solidFill>
              <w14:schemeClr w14:val="tx1"/>
            </w14:solidFill>
          </w14:textFill>
        </w:rPr>
        <w:t>。</w:t>
      </w:r>
      <w:r>
        <w:rPr>
          <w:rFonts w:hint="eastAsia" w:ascii="仿宋_GB2312" w:hAnsi="仿宋_GB2312" w:eastAsia="仿宋_GB2312" w:cs="仿宋_GB2312"/>
          <w:color w:val="000000" w:themeColor="text1"/>
          <w:spacing w:val="-12"/>
          <w:sz w:val="28"/>
          <w:szCs w:val="28"/>
          <w14:textFill>
            <w14:solidFill>
              <w14:schemeClr w14:val="tx1"/>
            </w14:solidFill>
          </w14:textFill>
        </w:rPr>
        <w:t>在</w:t>
      </w:r>
      <w:r>
        <w:rPr>
          <w:rFonts w:hint="eastAsia" w:ascii="仿宋_GB2312" w:hAnsi="仿宋_GB2312" w:eastAsia="仿宋_GB2312" w:cs="仿宋_GB2312"/>
          <w:color w:val="000000" w:themeColor="text1"/>
          <w:spacing w:val="-16"/>
          <w:sz w:val="28"/>
          <w:szCs w:val="28"/>
          <w14:textFill>
            <w14:solidFill>
              <w14:schemeClr w14:val="tx1"/>
            </w14:solidFill>
          </w14:textFill>
        </w:rPr>
        <w:t>此之后仍有中选品种被召回的，乙方应按上述约定承担同样的责任。甲方、医疗机构亦有权直接向乙方行使此项权利。</w:t>
      </w:r>
      <w:bookmarkStart w:id="16" w:name="13.质量保证及检验"/>
      <w:bookmarkEnd w:id="16"/>
    </w:p>
    <w:p>
      <w:pPr>
        <w:pStyle w:val="13"/>
        <w:tabs>
          <w:tab w:val="left" w:pos="1388"/>
        </w:tabs>
        <w:spacing w:line="334" w:lineRule="auto"/>
        <w:ind w:right="-73" w:rightChars="-33"/>
        <w:jc w:val="both"/>
        <w:rPr>
          <w:rFonts w:ascii="仿宋_GB2312" w:hAnsi="仿宋_GB2312" w:eastAsia="仿宋_GB2312" w:cs="仿宋_GB2312"/>
          <w:color w:val="000000" w:themeColor="text1"/>
          <w:spacing w:val="-16"/>
          <w:sz w:val="28"/>
          <w:szCs w:val="28"/>
          <w14:textFill>
            <w14:solidFill>
              <w14:schemeClr w14:val="tx1"/>
            </w14:solidFill>
          </w14:textFill>
        </w:rPr>
      </w:pPr>
      <w:r>
        <w:rPr>
          <w:rFonts w:hint="eastAsia" w:ascii="仿宋_GB2312" w:hAnsi="仿宋_GB2312" w:eastAsia="仿宋_GB2312" w:cs="仿宋_GB2312"/>
          <w:color w:val="000000" w:themeColor="text1"/>
          <w:spacing w:val="-16"/>
          <w:sz w:val="28"/>
          <w:szCs w:val="28"/>
          <w14:textFill>
            <w14:solidFill>
              <w14:schemeClr w14:val="tx1"/>
            </w14:solidFill>
          </w14:textFill>
        </w:rPr>
        <w:t>1</w:t>
      </w:r>
      <w:r>
        <w:rPr>
          <w:rFonts w:hint="eastAsia" w:ascii="仿宋_GB2312" w:hAnsi="仿宋_GB2312" w:eastAsia="仿宋_GB2312" w:cs="仿宋_GB2312"/>
          <w:color w:val="000000" w:themeColor="text1"/>
          <w:spacing w:val="-16"/>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pacing w:val="-16"/>
          <w:sz w:val="28"/>
          <w:szCs w:val="28"/>
          <w14:textFill>
            <w14:solidFill>
              <w14:schemeClr w14:val="tx1"/>
            </w14:solidFill>
          </w14:textFill>
        </w:rPr>
        <w:t>.质量保证及检验</w:t>
      </w:r>
    </w:p>
    <w:p>
      <w:pPr>
        <w:pStyle w:val="13"/>
        <w:numPr>
          <w:ilvl w:val="0"/>
          <w:numId w:val="10"/>
        </w:numPr>
        <w:tabs>
          <w:tab w:val="left" w:pos="1388"/>
        </w:tabs>
        <w:spacing w:line="334" w:lineRule="auto"/>
        <w:ind w:left="0" w:leftChars="0" w:right="-73" w:rightChars="-33" w:firstLine="660" w:firstLineChars="0"/>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按协议交付的药品质量应符合药典或国家药品监督管理部门规</w:t>
      </w:r>
      <w:r>
        <w:rPr>
          <w:rFonts w:hint="eastAsia" w:ascii="仿宋_GB2312" w:hAnsi="仿宋_GB2312" w:eastAsia="仿宋_GB2312" w:cs="仿宋_GB2312"/>
          <w:color w:val="000000" w:themeColor="text1"/>
          <w:spacing w:val="-10"/>
          <w:sz w:val="28"/>
          <w:szCs w:val="28"/>
          <w14:textFill>
            <w14:solidFill>
              <w14:schemeClr w14:val="tx1"/>
            </w14:solidFill>
          </w14:textFill>
        </w:rPr>
        <w:t>定的标准，并与中选时承诺的质量相一致，以确保临床用药安全有效。药</w:t>
      </w:r>
      <w:r>
        <w:rPr>
          <w:rFonts w:hint="eastAsia" w:ascii="仿宋_GB2312" w:hAnsi="仿宋_GB2312" w:eastAsia="仿宋_GB2312" w:cs="仿宋_GB2312"/>
          <w:color w:val="000000" w:themeColor="text1"/>
          <w:spacing w:val="-12"/>
          <w:sz w:val="28"/>
          <w:szCs w:val="28"/>
          <w14:textFill>
            <w14:solidFill>
              <w14:schemeClr w14:val="tx1"/>
            </w14:solidFill>
          </w14:textFill>
        </w:rPr>
        <w:t>品的包装、标识、标签、说明书等应符合国家相关规定，并具备国家管理</w:t>
      </w:r>
      <w:r>
        <w:rPr>
          <w:rFonts w:hint="eastAsia" w:ascii="仿宋_GB2312" w:hAnsi="仿宋_GB2312" w:eastAsia="仿宋_GB2312" w:cs="仿宋_GB2312"/>
          <w:color w:val="000000" w:themeColor="text1"/>
          <w:spacing w:val="-5"/>
          <w:sz w:val="28"/>
          <w:szCs w:val="28"/>
          <w14:textFill>
            <w14:solidFill>
              <w14:schemeClr w14:val="tx1"/>
            </w14:solidFill>
          </w14:textFill>
        </w:rPr>
        <w:t>部门的相关批件。</w:t>
      </w:r>
    </w:p>
    <w:p>
      <w:pPr>
        <w:pStyle w:val="13"/>
        <w:numPr>
          <w:ilvl w:val="0"/>
          <w:numId w:val="10"/>
        </w:numPr>
        <w:tabs>
          <w:tab w:val="left" w:pos="1388"/>
        </w:tabs>
        <w:spacing w:line="334" w:lineRule="auto"/>
        <w:ind w:left="16" w:leftChars="0" w:right="-73" w:rightChars="-33" w:firstLine="644" w:firstLineChars="0"/>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如果甲方确认需要进行药品质量检验，应及</w:t>
      </w:r>
      <w:r>
        <w:rPr>
          <w:rFonts w:hint="eastAsia" w:ascii="仿宋_GB2312" w:hAnsi="仿宋_GB2312" w:eastAsia="仿宋_GB2312" w:cs="仿宋_GB2312"/>
          <w:color w:val="000000" w:themeColor="text1"/>
          <w:spacing w:val="-8"/>
          <w:sz w:val="28"/>
          <w:szCs w:val="28"/>
          <w14:textFill>
            <w14:solidFill>
              <w14:schemeClr w14:val="tx1"/>
            </w14:solidFill>
          </w14:textFill>
        </w:rPr>
        <w:t>时以书面形式将质量检验的具体要求通知乙方。乙方应当同意配合甲方或</w:t>
      </w:r>
      <w:r>
        <w:rPr>
          <w:rFonts w:hint="eastAsia" w:ascii="仿宋_GB2312" w:hAnsi="仿宋_GB2312" w:eastAsia="仿宋_GB2312" w:cs="仿宋_GB2312"/>
          <w:color w:val="000000" w:themeColor="text1"/>
          <w:spacing w:val="-9"/>
          <w:sz w:val="28"/>
          <w:szCs w:val="28"/>
          <w14:textFill>
            <w14:solidFill>
              <w14:schemeClr w14:val="tx1"/>
            </w14:solidFill>
          </w14:textFill>
        </w:rPr>
        <w:t>医疗机构进行药品质量检验，如果通过检验证明药品存在质量问题，则进</w:t>
      </w:r>
      <w:r>
        <w:rPr>
          <w:rFonts w:hint="eastAsia" w:ascii="仿宋_GB2312" w:hAnsi="仿宋_GB2312" w:eastAsia="仿宋_GB2312" w:cs="仿宋_GB2312"/>
          <w:color w:val="000000" w:themeColor="text1"/>
          <w:spacing w:val="-3"/>
          <w:sz w:val="28"/>
          <w:szCs w:val="28"/>
          <w14:textFill>
            <w14:solidFill>
              <w14:schemeClr w14:val="tx1"/>
            </w14:solidFill>
          </w14:textFill>
        </w:rPr>
        <w:t>行药品质量检验的费用由乙方承担。检验在交货的最终目的地进行。</w:t>
      </w:r>
    </w:p>
    <w:p>
      <w:pPr>
        <w:pStyle w:val="13"/>
        <w:numPr>
          <w:ilvl w:val="0"/>
          <w:numId w:val="10"/>
        </w:numPr>
        <w:tabs>
          <w:tab w:val="left" w:pos="1383"/>
        </w:tabs>
        <w:spacing w:line="334" w:lineRule="auto"/>
        <w:ind w:left="16" w:leftChars="0" w:right="-73" w:rightChars="-33" w:firstLine="644" w:firstLineChars="0"/>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7"/>
          <w:sz w:val="28"/>
          <w:szCs w:val="28"/>
          <w14:textFill>
            <w14:solidFill>
              <w14:schemeClr w14:val="tx1"/>
            </w14:solidFill>
          </w14:textFill>
        </w:rPr>
        <w:t>质量检验</w:t>
      </w:r>
      <w:r>
        <w:rPr>
          <w:rFonts w:hint="eastAsia" w:ascii="仿宋_GB2312" w:hAnsi="仿宋_GB2312" w:eastAsia="仿宋_GB2312" w:cs="仿宋_GB2312"/>
          <w:color w:val="000000" w:themeColor="text1"/>
          <w:spacing w:val="-8"/>
          <w:sz w:val="28"/>
          <w:szCs w:val="28"/>
          <w14:textFill>
            <w14:solidFill>
              <w14:schemeClr w14:val="tx1"/>
            </w14:solidFill>
          </w14:textFill>
        </w:rPr>
        <w:t>由甲方按有关规定进行，费用由乙方承担，丙方不得</w:t>
      </w:r>
      <w:r>
        <w:rPr>
          <w:rFonts w:hint="eastAsia" w:ascii="仿宋_GB2312" w:hAnsi="仿宋_GB2312" w:eastAsia="仿宋_GB2312" w:cs="仿宋_GB2312"/>
          <w:color w:val="000000" w:themeColor="text1"/>
          <w:spacing w:val="-3"/>
          <w:sz w:val="28"/>
          <w:szCs w:val="28"/>
          <w14:textFill>
            <w14:solidFill>
              <w14:schemeClr w14:val="tx1"/>
            </w14:solidFill>
          </w14:textFill>
        </w:rPr>
        <w:t>代收或自行向乙方收取。</w:t>
      </w:r>
    </w:p>
    <w:p>
      <w:pPr>
        <w:pStyle w:val="13"/>
        <w:numPr>
          <w:ilvl w:val="0"/>
          <w:numId w:val="10"/>
        </w:numPr>
        <w:tabs>
          <w:tab w:val="left" w:pos="1388"/>
        </w:tabs>
        <w:spacing w:line="334" w:lineRule="auto"/>
        <w:ind w:left="16" w:leftChars="0" w:right="-73" w:rightChars="-33" w:firstLine="644" w:firstLineChars="0"/>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医疗机构在接收药品时，应对药品进行验货确认，对不符合协</w:t>
      </w:r>
      <w:r>
        <w:rPr>
          <w:rFonts w:hint="eastAsia" w:ascii="仿宋_GB2312" w:hAnsi="仿宋_GB2312" w:eastAsia="仿宋_GB2312" w:cs="仿宋_GB2312"/>
          <w:color w:val="000000" w:themeColor="text1"/>
          <w:spacing w:val="-10"/>
          <w:sz w:val="28"/>
          <w:szCs w:val="28"/>
          <w14:textFill>
            <w14:solidFill>
              <w14:schemeClr w14:val="tx1"/>
            </w14:solidFill>
          </w14:textFill>
        </w:rPr>
        <w:t>议要求或质量要求的，医疗机构有权拒绝接收。乙方应及时更换被拒绝的</w:t>
      </w:r>
      <w:r>
        <w:rPr>
          <w:rFonts w:hint="eastAsia" w:ascii="仿宋_GB2312" w:hAnsi="仿宋_GB2312" w:eastAsia="仿宋_GB2312" w:cs="仿宋_GB2312"/>
          <w:color w:val="000000" w:themeColor="text1"/>
          <w:spacing w:val="-11"/>
          <w:sz w:val="28"/>
          <w:szCs w:val="28"/>
          <w14:textFill>
            <w14:solidFill>
              <w14:schemeClr w14:val="tx1"/>
            </w14:solidFill>
          </w14:textFill>
        </w:rPr>
        <w:t>药品，不得影响医疗机构的临床用药。医疗机构对药品验货并予以确认的</w:t>
      </w:r>
      <w:r>
        <w:rPr>
          <w:rFonts w:hint="eastAsia" w:ascii="仿宋_GB2312" w:hAnsi="仿宋_GB2312" w:eastAsia="仿宋_GB2312" w:cs="仿宋_GB2312"/>
          <w:color w:val="000000" w:themeColor="text1"/>
          <w:spacing w:val="-12"/>
          <w:sz w:val="28"/>
          <w:szCs w:val="28"/>
          <w14:textFill>
            <w14:solidFill>
              <w14:schemeClr w14:val="tx1"/>
            </w14:solidFill>
          </w14:textFill>
        </w:rPr>
        <w:t>行为，并不影响甲方或医疗机构依据前款约定通知乙方对药品质量进行检</w:t>
      </w:r>
      <w:r>
        <w:rPr>
          <w:rFonts w:hint="eastAsia" w:ascii="仿宋_GB2312" w:hAnsi="仿宋_GB2312" w:eastAsia="仿宋_GB2312" w:cs="仿宋_GB2312"/>
          <w:color w:val="000000" w:themeColor="text1"/>
          <w:spacing w:val="-4"/>
          <w:sz w:val="28"/>
          <w:szCs w:val="28"/>
          <w14:textFill>
            <w14:solidFill>
              <w14:schemeClr w14:val="tx1"/>
            </w14:solidFill>
          </w14:textFill>
        </w:rPr>
        <w:t>验的权利。</w:t>
      </w:r>
    </w:p>
    <w:p>
      <w:pPr>
        <w:pStyle w:val="13"/>
        <w:numPr>
          <w:ilvl w:val="0"/>
          <w:numId w:val="10"/>
        </w:numPr>
        <w:tabs>
          <w:tab w:val="left" w:pos="1388"/>
        </w:tabs>
        <w:spacing w:line="334" w:lineRule="auto"/>
        <w:ind w:left="16" w:leftChars="0" w:right="-73" w:rightChars="-33" w:firstLine="644" w:firstLineChars="0"/>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若遇到国家药品监督管理部门对中选品种进行药品质量抽样检</w:t>
      </w:r>
      <w:r>
        <w:rPr>
          <w:rFonts w:hint="eastAsia" w:ascii="仿宋_GB2312" w:hAnsi="仿宋_GB2312" w:eastAsia="仿宋_GB2312" w:cs="仿宋_GB2312"/>
          <w:color w:val="000000" w:themeColor="text1"/>
          <w:spacing w:val="-11"/>
          <w:sz w:val="28"/>
          <w:szCs w:val="28"/>
          <w14:textFill>
            <w14:solidFill>
              <w14:schemeClr w14:val="tx1"/>
            </w14:solidFill>
          </w14:textFill>
        </w:rPr>
        <w:t>查，抽样药品的样品及在检查和复检过程中所产生的各类相关费用均由乙</w:t>
      </w:r>
      <w:r>
        <w:rPr>
          <w:rFonts w:hint="eastAsia" w:ascii="仿宋_GB2312" w:hAnsi="仿宋_GB2312" w:eastAsia="仿宋_GB2312" w:cs="仿宋_GB2312"/>
          <w:color w:val="000000" w:themeColor="text1"/>
          <w:spacing w:val="-9"/>
          <w:sz w:val="28"/>
          <w:szCs w:val="28"/>
          <w14:textFill>
            <w14:solidFill>
              <w14:schemeClr w14:val="tx1"/>
            </w14:solidFill>
          </w14:textFill>
        </w:rPr>
        <w:t>方承担，乙方可通过向甲方补货或退</w:t>
      </w:r>
      <w:r>
        <w:rPr>
          <w:rFonts w:hint="eastAsia" w:ascii="仿宋_GB2312" w:hAnsi="仿宋_GB2312" w:eastAsia="仿宋_GB2312" w:cs="仿宋_GB2312"/>
          <w:color w:val="000000" w:themeColor="text1"/>
          <w:sz w:val="28"/>
          <w:szCs w:val="28"/>
          <w14:textFill>
            <w14:solidFill>
              <w14:schemeClr w14:val="tx1"/>
            </w14:solidFill>
          </w14:textFill>
        </w:rPr>
        <w:t>（补</w:t>
      </w:r>
      <w:r>
        <w:rPr>
          <w:rFonts w:hint="eastAsia" w:ascii="仿宋_GB2312" w:hAnsi="仿宋_GB2312" w:eastAsia="仿宋_GB2312" w:cs="仿宋_GB2312"/>
          <w:color w:val="000000" w:themeColor="text1"/>
          <w:spacing w:val="-32"/>
          <w:sz w:val="28"/>
          <w:szCs w:val="28"/>
          <w14:textFill>
            <w14:solidFill>
              <w14:schemeClr w14:val="tx1"/>
            </w14:solidFill>
          </w14:textFill>
        </w:rPr>
        <w:t>）</w:t>
      </w:r>
      <w:r>
        <w:rPr>
          <w:rFonts w:hint="eastAsia" w:ascii="仿宋_GB2312" w:hAnsi="仿宋_GB2312" w:eastAsia="仿宋_GB2312" w:cs="仿宋_GB2312"/>
          <w:color w:val="000000" w:themeColor="text1"/>
          <w:spacing w:val="-2"/>
          <w:sz w:val="28"/>
          <w:szCs w:val="28"/>
          <w14:textFill>
            <w14:solidFill>
              <w14:schemeClr w14:val="tx1"/>
            </w14:solidFill>
          </w14:textFill>
        </w:rPr>
        <w:t>款等形式实</w:t>
      </w:r>
      <w:r>
        <w:rPr>
          <w:rFonts w:hint="eastAsia" w:ascii="仿宋_GB2312" w:hAnsi="仿宋_GB2312" w:eastAsia="仿宋_GB2312" w:cs="仿宋_GB2312"/>
          <w:color w:val="000000" w:themeColor="text1"/>
          <w:spacing w:val="-11"/>
          <w:sz w:val="28"/>
          <w:szCs w:val="28"/>
          <w14:textFill>
            <w14:solidFill>
              <w14:schemeClr w14:val="tx1"/>
            </w14:solidFill>
          </w14:textFill>
        </w:rPr>
        <w:t>现，因中选品种检验不合格所发生的所有相关罚款及所有相关损失均由乙</w:t>
      </w:r>
      <w:r>
        <w:rPr>
          <w:rFonts w:hint="eastAsia" w:ascii="仿宋_GB2312" w:hAnsi="仿宋_GB2312" w:eastAsia="仿宋_GB2312" w:cs="仿宋_GB2312"/>
          <w:color w:val="000000" w:themeColor="text1"/>
          <w:spacing w:val="-5"/>
          <w:sz w:val="28"/>
          <w:szCs w:val="28"/>
          <w14:textFill>
            <w14:solidFill>
              <w14:schemeClr w14:val="tx1"/>
            </w14:solidFill>
          </w14:textFill>
        </w:rPr>
        <w:t>方负责承担。</w:t>
      </w:r>
    </w:p>
    <w:p>
      <w:pPr>
        <w:pStyle w:val="13"/>
        <w:numPr>
          <w:ilvl w:val="0"/>
          <w:numId w:val="10"/>
        </w:numPr>
        <w:tabs>
          <w:tab w:val="left" w:pos="1388"/>
        </w:tabs>
        <w:spacing w:line="334" w:lineRule="auto"/>
        <w:ind w:left="16" w:leftChars="0" w:right="-73" w:rightChars="-33" w:firstLine="644" w:firstLineChars="0"/>
        <w:jc w:val="both"/>
        <w:rPr>
          <w:rFonts w:ascii="仿宋_GB2312" w:hAnsi="仿宋_GB2312" w:eastAsia="仿宋_GB2312" w:cs="仿宋_GB2312"/>
          <w:color w:val="000000" w:themeColor="text1"/>
          <w:spacing w:val="-1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甲方如果发现药品存在质量问题（具有甲方</w:t>
      </w:r>
      <w:r>
        <w:rPr>
          <w:rFonts w:hint="eastAsia" w:ascii="仿宋_GB2312" w:hAnsi="仿宋_GB2312" w:eastAsia="仿宋_GB2312" w:cs="仿宋_GB2312"/>
          <w:color w:val="000000" w:themeColor="text1"/>
          <w:spacing w:val="-3"/>
          <w:sz w:val="28"/>
          <w:szCs w:val="28"/>
          <w14:textFill>
            <w14:solidFill>
              <w14:schemeClr w14:val="tx1"/>
            </w14:solidFill>
          </w14:textFill>
        </w:rPr>
        <w:t>所在地药检部门的检验报告</w:t>
      </w:r>
      <w:r>
        <w:rPr>
          <w:rFonts w:hint="eastAsia" w:ascii="仿宋_GB2312" w:hAnsi="仿宋_GB2312" w:eastAsia="仿宋_GB2312" w:cs="仿宋_GB2312"/>
          <w:color w:val="000000" w:themeColor="text1"/>
          <w:spacing w:val="-31"/>
          <w:sz w:val="28"/>
          <w:szCs w:val="28"/>
          <w14:textFill>
            <w14:solidFill>
              <w14:schemeClr w14:val="tx1"/>
            </w14:solidFill>
          </w14:textFill>
        </w:rPr>
        <w:t>）</w:t>
      </w:r>
      <w:r>
        <w:rPr>
          <w:rFonts w:hint="eastAsia" w:ascii="仿宋_GB2312" w:hAnsi="仿宋_GB2312" w:eastAsia="仿宋_GB2312" w:cs="仿宋_GB2312"/>
          <w:color w:val="000000" w:themeColor="text1"/>
          <w:spacing w:val="-26"/>
          <w:sz w:val="28"/>
          <w:szCs w:val="28"/>
          <w14:textFill>
            <w14:solidFill>
              <w14:schemeClr w14:val="tx1"/>
            </w14:solidFill>
          </w14:textFill>
        </w:rPr>
        <w:t>，需在</w:t>
      </w:r>
      <w:r>
        <w:rPr>
          <w:rFonts w:hint="eastAsia" w:ascii="仿宋_GB2312" w:hAnsi="仿宋_GB2312" w:eastAsia="仿宋_GB2312" w:cs="仿宋_GB2312"/>
          <w:color w:val="000000" w:themeColor="text1"/>
          <w:sz w:val="28"/>
          <w:szCs w:val="28"/>
          <w14:textFill>
            <w14:solidFill>
              <w14:schemeClr w14:val="tx1"/>
            </w14:solidFill>
          </w14:textFill>
        </w:rPr>
        <w:t>3</w:t>
      </w:r>
      <w:r>
        <w:rPr>
          <w:rFonts w:hint="eastAsia" w:ascii="仿宋_GB2312" w:hAnsi="仿宋_GB2312" w:eastAsia="仿宋_GB2312" w:cs="仿宋_GB2312"/>
          <w:color w:val="000000" w:themeColor="text1"/>
          <w:spacing w:val="-12"/>
          <w:sz w:val="28"/>
          <w:szCs w:val="28"/>
          <w14:textFill>
            <w14:solidFill>
              <w14:schemeClr w14:val="tx1"/>
            </w14:solidFill>
          </w14:textFill>
        </w:rPr>
        <w:t>日内报医疗保障行政部门备案。医</w:t>
      </w:r>
      <w:r>
        <w:rPr>
          <w:rFonts w:hint="eastAsia" w:ascii="仿宋_GB2312" w:hAnsi="仿宋_GB2312" w:eastAsia="仿宋_GB2312" w:cs="仿宋_GB2312"/>
          <w:color w:val="000000" w:themeColor="text1"/>
          <w:spacing w:val="3"/>
          <w:sz w:val="28"/>
          <w:szCs w:val="28"/>
          <w14:textFill>
            <w14:solidFill>
              <w14:schemeClr w14:val="tx1"/>
            </w14:solidFill>
          </w14:textFill>
        </w:rPr>
        <w:t>疗机构有权与相关行政管理部门共同决定在候选中选药品中选择替代药</w:t>
      </w:r>
      <w:r>
        <w:rPr>
          <w:rFonts w:hint="eastAsia" w:ascii="仿宋_GB2312" w:hAnsi="仿宋_GB2312" w:eastAsia="仿宋_GB2312" w:cs="仿宋_GB2312"/>
          <w:color w:val="000000" w:themeColor="text1"/>
          <w:spacing w:val="-10"/>
          <w:sz w:val="28"/>
          <w:szCs w:val="28"/>
          <w14:textFill>
            <w14:solidFill>
              <w14:schemeClr w14:val="tx1"/>
            </w14:solidFill>
          </w14:textFill>
        </w:rPr>
        <w:t>品，并对涉及相关方按相关法律法规及采购文件的规定予以处罚。上述决定必须事先告知并接受书面申诉。</w:t>
      </w:r>
    </w:p>
    <w:p>
      <w:pPr>
        <w:pStyle w:val="13"/>
        <w:numPr>
          <w:ilvl w:val="0"/>
          <w:numId w:val="10"/>
        </w:numPr>
        <w:tabs>
          <w:tab w:val="left" w:pos="1388"/>
        </w:tabs>
        <w:spacing w:line="334" w:lineRule="auto"/>
        <w:ind w:left="16" w:leftChars="0" w:right="-73" w:rightChars="-33" w:firstLine="644" w:firstLineChars="0"/>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如产品经检验，确实出现质量问题，乙方还应向甲方给付全部</w:t>
      </w:r>
      <w:r>
        <w:rPr>
          <w:rFonts w:hint="eastAsia" w:ascii="仿宋_GB2312" w:hAnsi="仿宋_GB2312" w:eastAsia="仿宋_GB2312" w:cs="仿宋_GB2312"/>
          <w:color w:val="000000" w:themeColor="text1"/>
          <w:spacing w:val="-9"/>
          <w:sz w:val="28"/>
          <w:szCs w:val="28"/>
          <w14:textFill>
            <w14:solidFill>
              <w14:schemeClr w14:val="tx1"/>
            </w14:solidFill>
          </w14:textFill>
        </w:rPr>
        <w:t>有问题产品的双倍货款作为违约金，且乙方不得以药品已被验收合格作为</w:t>
      </w:r>
      <w:r>
        <w:rPr>
          <w:rFonts w:hint="eastAsia" w:ascii="仿宋_GB2312" w:hAnsi="仿宋_GB2312" w:eastAsia="仿宋_GB2312" w:cs="仿宋_GB2312"/>
          <w:color w:val="000000" w:themeColor="text1"/>
          <w:spacing w:val="-3"/>
          <w:sz w:val="28"/>
          <w:szCs w:val="28"/>
          <w14:textFill>
            <w14:solidFill>
              <w14:schemeClr w14:val="tx1"/>
            </w14:solidFill>
          </w14:textFill>
        </w:rPr>
        <w:t>抗辩理由。</w:t>
      </w:r>
    </w:p>
    <w:p>
      <w:pPr>
        <w:pStyle w:val="13"/>
        <w:numPr>
          <w:numId w:val="0"/>
        </w:numPr>
        <w:tabs>
          <w:tab w:val="left" w:pos="1104"/>
        </w:tabs>
        <w:spacing w:line="334" w:lineRule="auto"/>
        <w:ind w:left="660" w:leftChars="0" w:right="-73" w:rightChars="-33"/>
        <w:jc w:val="both"/>
        <w:rPr>
          <w:rFonts w:hint="eastAsia" w:ascii="仿宋_GB2312" w:hAnsi="仿宋_GB2312" w:eastAsia="仿宋_GB2312" w:cs="仿宋_GB2312"/>
          <w:color w:val="000000" w:themeColor="text1"/>
          <w:spacing w:val="-2"/>
          <w:sz w:val="28"/>
          <w:szCs w:val="28"/>
          <w14:textFill>
            <w14:solidFill>
              <w14:schemeClr w14:val="tx1"/>
            </w14:solidFill>
          </w14:textFill>
        </w:rPr>
      </w:pPr>
      <w:bookmarkStart w:id="17" w:name="14.履约延误"/>
      <w:bookmarkEnd w:id="17"/>
      <w:r>
        <w:rPr>
          <w:rFonts w:hint="eastAsia" w:ascii="仿宋_GB2312" w:hAnsi="仿宋_GB2312" w:eastAsia="仿宋_GB2312" w:cs="仿宋_GB2312"/>
          <w:color w:val="000000" w:themeColor="text1"/>
          <w:spacing w:val="-2"/>
          <w:sz w:val="28"/>
          <w:szCs w:val="28"/>
          <w:lang w:val="en-US" w:eastAsia="zh-CN"/>
          <w14:textFill>
            <w14:solidFill>
              <w14:schemeClr w14:val="tx1"/>
            </w14:solidFill>
          </w14:textFill>
        </w:rPr>
        <w:t>13.</w:t>
      </w:r>
      <w:r>
        <w:rPr>
          <w:rFonts w:hint="eastAsia" w:ascii="仿宋_GB2312" w:hAnsi="仿宋_GB2312" w:eastAsia="仿宋_GB2312" w:cs="仿宋_GB2312"/>
          <w:color w:val="000000" w:themeColor="text1"/>
          <w:spacing w:val="-2"/>
          <w:sz w:val="28"/>
          <w:szCs w:val="28"/>
          <w14:textFill>
            <w14:solidFill>
              <w14:schemeClr w14:val="tx1"/>
            </w14:solidFill>
          </w14:textFill>
        </w:rPr>
        <w:t>履约延误</w:t>
      </w:r>
    </w:p>
    <w:p>
      <w:pPr>
        <w:pStyle w:val="13"/>
        <w:numPr>
          <w:numId w:val="0"/>
        </w:numPr>
        <w:tabs>
          <w:tab w:val="left" w:pos="1104"/>
        </w:tabs>
        <w:spacing w:line="334" w:lineRule="auto"/>
        <w:ind w:right="-73" w:rightChars="-33" w:firstLine="548" w:firstLineChars="200"/>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3"/>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3"/>
          <w:sz w:val="28"/>
          <w:szCs w:val="28"/>
          <w14:textFill>
            <w14:solidFill>
              <w14:schemeClr w14:val="tx1"/>
            </w14:solidFill>
          </w14:textFill>
        </w:rPr>
        <w:t>丙方应按照协议配送规定的时间配送药品并提供伴随服务。</w:t>
      </w:r>
    </w:p>
    <w:p>
      <w:pPr>
        <w:pStyle w:val="13"/>
        <w:numPr>
          <w:numId w:val="0"/>
        </w:numPr>
        <w:tabs>
          <w:tab w:val="left" w:pos="1388"/>
        </w:tabs>
        <w:spacing w:line="334" w:lineRule="auto"/>
        <w:ind w:right="-73" w:rightChars="-33" w:firstLine="560" w:firstLineChars="200"/>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在履行协议的过程中，如果乙方、丙方遇到妨碍按时配送药品</w:t>
      </w:r>
      <w:r>
        <w:rPr>
          <w:rFonts w:hint="eastAsia" w:ascii="仿宋_GB2312" w:hAnsi="仿宋_GB2312" w:eastAsia="仿宋_GB2312" w:cs="仿宋_GB2312"/>
          <w:color w:val="000000" w:themeColor="text1"/>
          <w:spacing w:val="-9"/>
          <w:sz w:val="28"/>
          <w:szCs w:val="28"/>
          <w14:textFill>
            <w14:solidFill>
              <w14:schemeClr w14:val="tx1"/>
            </w14:solidFill>
          </w14:textFill>
        </w:rPr>
        <w:t>和提供伴随服务的情况时，应及时以书面形式将拖延的事实、可能拖延的</w:t>
      </w:r>
      <w:r>
        <w:rPr>
          <w:rFonts w:hint="eastAsia" w:ascii="仿宋_GB2312" w:hAnsi="仿宋_GB2312" w:eastAsia="仿宋_GB2312" w:cs="仿宋_GB2312"/>
          <w:color w:val="000000" w:themeColor="text1"/>
          <w:spacing w:val="-7"/>
          <w:sz w:val="28"/>
          <w:szCs w:val="28"/>
          <w14:textFill>
            <w14:solidFill>
              <w14:schemeClr w14:val="tx1"/>
            </w14:solidFill>
          </w14:textFill>
        </w:rPr>
        <w:t>时间和原因以书面形式通知甲方。甲方和医疗机构在收</w:t>
      </w:r>
      <w:r>
        <w:rPr>
          <w:rFonts w:hint="eastAsia" w:ascii="仿宋_GB2312" w:hAnsi="仿宋_GB2312" w:eastAsia="仿宋_GB2312" w:cs="仿宋_GB2312"/>
          <w:color w:val="000000" w:themeColor="text1"/>
          <w:spacing w:val="-11"/>
          <w:sz w:val="28"/>
          <w:szCs w:val="28"/>
          <w14:textFill>
            <w14:solidFill>
              <w14:schemeClr w14:val="tx1"/>
            </w14:solidFill>
          </w14:textFill>
        </w:rPr>
        <w:t>到通知后，应尽快对情况进行核实，并确定是否同意酌情延长交货时间以</w:t>
      </w:r>
      <w:r>
        <w:rPr>
          <w:rFonts w:hint="eastAsia" w:ascii="仿宋_GB2312" w:hAnsi="仿宋_GB2312" w:eastAsia="仿宋_GB2312" w:cs="仿宋_GB2312"/>
          <w:color w:val="000000" w:themeColor="text1"/>
          <w:spacing w:val="-7"/>
          <w:sz w:val="28"/>
          <w:szCs w:val="28"/>
          <w14:textFill>
            <w14:solidFill>
              <w14:schemeClr w14:val="tx1"/>
            </w14:solidFill>
          </w14:textFill>
        </w:rPr>
        <w:t>及是否收取违约金或终止协议。延期应通过补充协议的方式由甲、乙、丙</w:t>
      </w:r>
      <w:r>
        <w:rPr>
          <w:rFonts w:hint="eastAsia" w:ascii="仿宋_GB2312" w:hAnsi="仿宋_GB2312" w:eastAsia="仿宋_GB2312" w:cs="仿宋_GB2312"/>
          <w:color w:val="000000" w:themeColor="text1"/>
          <w:spacing w:val="-3"/>
          <w:sz w:val="28"/>
          <w:szCs w:val="28"/>
          <w14:textFill>
            <w14:solidFill>
              <w14:schemeClr w14:val="tx1"/>
            </w14:solidFill>
          </w14:textFill>
        </w:rPr>
        <w:t>三方认可并重新签署。</w:t>
      </w:r>
    </w:p>
    <w:p>
      <w:pPr>
        <w:pStyle w:val="13"/>
        <w:numPr>
          <w:numId w:val="0"/>
        </w:numPr>
        <w:tabs>
          <w:tab w:val="left" w:pos="1388"/>
        </w:tabs>
        <w:spacing w:line="334" w:lineRule="auto"/>
        <w:ind w:right="-73" w:rightChars="-33" w:firstLine="560" w:firstLineChars="200"/>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如丙方、乙方无正当理由拖延交货，则甲方有权要求乙方或丙</w:t>
      </w:r>
      <w:r>
        <w:rPr>
          <w:rFonts w:hint="eastAsia" w:ascii="仿宋_GB2312" w:hAnsi="仿宋_GB2312" w:eastAsia="仿宋_GB2312" w:cs="仿宋_GB2312"/>
          <w:color w:val="000000" w:themeColor="text1"/>
          <w:spacing w:val="-3"/>
          <w:sz w:val="28"/>
          <w:szCs w:val="28"/>
          <w14:textFill>
            <w14:solidFill>
              <w14:schemeClr w14:val="tx1"/>
            </w14:solidFill>
          </w14:textFill>
        </w:rPr>
        <w:t>方承担误期赔偿费或终止协议等违约责任。</w:t>
      </w:r>
    </w:p>
    <w:p>
      <w:pPr>
        <w:pStyle w:val="13"/>
        <w:numPr>
          <w:numId w:val="0"/>
        </w:numPr>
        <w:tabs>
          <w:tab w:val="left" w:pos="1104"/>
        </w:tabs>
        <w:spacing w:line="334" w:lineRule="auto"/>
        <w:ind w:right="-73" w:rightChars="-33" w:firstLine="552" w:firstLineChars="200"/>
        <w:jc w:val="both"/>
        <w:rPr>
          <w:rFonts w:ascii="仿宋_GB2312" w:hAnsi="仿宋_GB2312" w:eastAsia="仿宋_GB2312" w:cs="仿宋_GB2312"/>
          <w:color w:val="000000" w:themeColor="text1"/>
          <w:sz w:val="28"/>
          <w:szCs w:val="28"/>
          <w14:textFill>
            <w14:solidFill>
              <w14:schemeClr w14:val="tx1"/>
            </w14:solidFill>
          </w14:textFill>
        </w:rPr>
      </w:pPr>
      <w:bookmarkStart w:id="18" w:name="15.误期赔偿"/>
      <w:bookmarkEnd w:id="18"/>
      <w:r>
        <w:rPr>
          <w:rFonts w:hint="eastAsia" w:ascii="仿宋_GB2312" w:hAnsi="仿宋_GB2312" w:eastAsia="仿宋_GB2312" w:cs="仿宋_GB2312"/>
          <w:color w:val="000000" w:themeColor="text1"/>
          <w:spacing w:val="-2"/>
          <w:sz w:val="28"/>
          <w:szCs w:val="28"/>
          <w:lang w:val="en-US" w:eastAsia="zh-CN"/>
          <w14:textFill>
            <w14:solidFill>
              <w14:schemeClr w14:val="tx1"/>
            </w14:solidFill>
          </w14:textFill>
        </w:rPr>
        <w:t>14.</w:t>
      </w:r>
      <w:r>
        <w:rPr>
          <w:rFonts w:hint="eastAsia" w:ascii="仿宋_GB2312" w:hAnsi="仿宋_GB2312" w:eastAsia="仿宋_GB2312" w:cs="仿宋_GB2312"/>
          <w:color w:val="000000" w:themeColor="text1"/>
          <w:spacing w:val="-2"/>
          <w:sz w:val="28"/>
          <w:szCs w:val="28"/>
          <w14:textFill>
            <w14:solidFill>
              <w14:schemeClr w14:val="tx1"/>
            </w14:solidFill>
          </w14:textFill>
        </w:rPr>
        <w:t>误期赔偿</w:t>
      </w:r>
    </w:p>
    <w:p>
      <w:pPr>
        <w:pStyle w:val="13"/>
        <w:numPr>
          <w:numId w:val="0"/>
        </w:numPr>
        <w:tabs>
          <w:tab w:val="left" w:pos="1383"/>
        </w:tabs>
        <w:spacing w:line="334" w:lineRule="auto"/>
        <w:ind w:right="-73" w:rightChars="-33" w:firstLine="512" w:firstLineChars="200"/>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2"/>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12"/>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pacing w:val="-12"/>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12"/>
          <w:sz w:val="28"/>
          <w:szCs w:val="28"/>
          <w14:textFill>
            <w14:solidFill>
              <w14:schemeClr w14:val="tx1"/>
            </w14:solidFill>
          </w14:textFill>
        </w:rPr>
        <w:t>除本协议条款第</w:t>
      </w:r>
      <w:r>
        <w:rPr>
          <w:rFonts w:hint="eastAsia" w:ascii="仿宋_GB2312" w:hAnsi="仿宋_GB2312" w:eastAsia="仿宋_GB2312" w:cs="仿宋_GB2312"/>
          <w:color w:val="000000" w:themeColor="text1"/>
          <w:sz w:val="28"/>
          <w:szCs w:val="28"/>
          <w14:textFill>
            <w14:solidFill>
              <w14:schemeClr w14:val="tx1"/>
            </w14:solidFill>
          </w14:textFill>
        </w:rPr>
        <w:t>14</w:t>
      </w:r>
      <w:r>
        <w:rPr>
          <w:rFonts w:hint="eastAsia" w:ascii="仿宋_GB2312" w:hAnsi="仿宋_GB2312" w:eastAsia="仿宋_GB2312" w:cs="仿宋_GB2312"/>
          <w:color w:val="000000" w:themeColor="text1"/>
          <w:spacing w:val="-14"/>
          <w:sz w:val="28"/>
          <w:szCs w:val="28"/>
          <w14:textFill>
            <w14:solidFill>
              <w14:schemeClr w14:val="tx1"/>
            </w14:solidFill>
          </w14:textFill>
        </w:rPr>
        <w:t>条规定的情况外，如果乙方、丙方没有按</w:t>
      </w:r>
      <w:r>
        <w:rPr>
          <w:rFonts w:hint="eastAsia" w:ascii="仿宋_GB2312" w:hAnsi="仿宋_GB2312" w:eastAsia="仿宋_GB2312" w:cs="仿宋_GB2312"/>
          <w:color w:val="000000" w:themeColor="text1"/>
          <w:spacing w:val="-8"/>
          <w:sz w:val="28"/>
          <w:szCs w:val="28"/>
          <w14:textFill>
            <w14:solidFill>
              <w14:schemeClr w14:val="tx1"/>
            </w14:solidFill>
          </w14:textFill>
        </w:rPr>
        <w:t>照协议规定的时间配送药品并提供伴随服务，则甲方有</w:t>
      </w:r>
      <w:r>
        <w:rPr>
          <w:rFonts w:hint="eastAsia" w:ascii="仿宋_GB2312" w:hAnsi="仿宋_GB2312" w:eastAsia="仿宋_GB2312" w:cs="仿宋_GB2312"/>
          <w:color w:val="000000" w:themeColor="text1"/>
          <w:spacing w:val="-5"/>
          <w:sz w:val="28"/>
          <w:szCs w:val="28"/>
          <w14:textFill>
            <w14:solidFill>
              <w14:schemeClr w14:val="tx1"/>
            </w14:solidFill>
          </w14:textFill>
        </w:rPr>
        <w:t>权要求乙方、丙方承担延误的批次订单金额每日万分之五的误期赔偿费。</w:t>
      </w:r>
    </w:p>
    <w:p>
      <w:pPr>
        <w:pStyle w:val="13"/>
        <w:numPr>
          <w:numId w:val="0"/>
        </w:numPr>
        <w:tabs>
          <w:tab w:val="left" w:pos="1388"/>
        </w:tabs>
        <w:spacing w:line="334" w:lineRule="auto"/>
        <w:ind w:right="-73" w:rightChars="-33" w:firstLine="560" w:firstLineChars="200"/>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乙方、丙方在支付误期赔偿费后，如协议未被终止，则乙方、</w:t>
      </w:r>
      <w:r>
        <w:rPr>
          <w:rFonts w:hint="eastAsia" w:ascii="仿宋_GB2312" w:hAnsi="仿宋_GB2312" w:eastAsia="仿宋_GB2312" w:cs="仿宋_GB2312"/>
          <w:color w:val="000000" w:themeColor="text1"/>
          <w:spacing w:val="-3"/>
          <w:sz w:val="28"/>
          <w:szCs w:val="28"/>
          <w14:textFill>
            <w14:solidFill>
              <w14:schemeClr w14:val="tx1"/>
            </w14:solidFill>
          </w14:textFill>
        </w:rPr>
        <w:t>丙方还应当继续履行其在本协议下应尽的各项义务。</w:t>
      </w:r>
    </w:p>
    <w:p>
      <w:pPr>
        <w:pStyle w:val="13"/>
        <w:numPr>
          <w:numId w:val="0"/>
        </w:numPr>
        <w:tabs>
          <w:tab w:val="left" w:pos="1104"/>
        </w:tabs>
        <w:spacing w:line="334" w:lineRule="auto"/>
        <w:ind w:right="-73" w:rightChars="-33" w:firstLine="552" w:firstLineChars="200"/>
        <w:jc w:val="both"/>
        <w:rPr>
          <w:rFonts w:ascii="仿宋_GB2312" w:hAnsi="仿宋_GB2312" w:eastAsia="仿宋_GB2312" w:cs="仿宋_GB2312"/>
          <w:color w:val="000000" w:themeColor="text1"/>
          <w:sz w:val="28"/>
          <w:szCs w:val="28"/>
          <w14:textFill>
            <w14:solidFill>
              <w14:schemeClr w14:val="tx1"/>
            </w14:solidFill>
          </w14:textFill>
        </w:rPr>
      </w:pPr>
      <w:bookmarkStart w:id="19" w:name="16.不可抗力"/>
      <w:bookmarkEnd w:id="19"/>
      <w:r>
        <w:rPr>
          <w:rFonts w:hint="eastAsia" w:ascii="仿宋_GB2312" w:hAnsi="仿宋_GB2312" w:eastAsia="仿宋_GB2312" w:cs="仿宋_GB2312"/>
          <w:color w:val="000000" w:themeColor="text1"/>
          <w:spacing w:val="-2"/>
          <w:sz w:val="28"/>
          <w:szCs w:val="28"/>
          <w:lang w:val="en-US" w:eastAsia="zh-CN"/>
          <w14:textFill>
            <w14:solidFill>
              <w14:schemeClr w14:val="tx1"/>
            </w14:solidFill>
          </w14:textFill>
        </w:rPr>
        <w:t>15.</w:t>
      </w:r>
      <w:r>
        <w:rPr>
          <w:rFonts w:hint="eastAsia" w:ascii="仿宋_GB2312" w:hAnsi="仿宋_GB2312" w:eastAsia="仿宋_GB2312" w:cs="仿宋_GB2312"/>
          <w:color w:val="000000" w:themeColor="text1"/>
          <w:spacing w:val="-2"/>
          <w:sz w:val="28"/>
          <w:szCs w:val="28"/>
          <w14:textFill>
            <w14:solidFill>
              <w14:schemeClr w14:val="tx1"/>
            </w14:solidFill>
          </w14:textFill>
        </w:rPr>
        <w:t>不可抗力</w:t>
      </w:r>
    </w:p>
    <w:p>
      <w:pPr>
        <w:pStyle w:val="13"/>
        <w:numPr>
          <w:numId w:val="0"/>
        </w:numPr>
        <w:tabs>
          <w:tab w:val="left" w:pos="1388"/>
        </w:tabs>
        <w:spacing w:line="334" w:lineRule="auto"/>
        <w:ind w:right="-73" w:rightChars="-33" w:firstLine="560" w:firstLineChars="200"/>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协议当事人因不可抗力而导致协议实施延误或不能履行协议义</w:t>
      </w:r>
      <w:r>
        <w:rPr>
          <w:rFonts w:hint="eastAsia" w:ascii="仿宋_GB2312" w:hAnsi="仿宋_GB2312" w:eastAsia="仿宋_GB2312" w:cs="仿宋_GB2312"/>
          <w:color w:val="000000" w:themeColor="text1"/>
          <w:spacing w:val="-3"/>
          <w:sz w:val="28"/>
          <w:szCs w:val="28"/>
          <w14:textFill>
            <w14:solidFill>
              <w14:schemeClr w14:val="tx1"/>
            </w14:solidFill>
          </w14:textFill>
        </w:rPr>
        <w:t>务的，不应该承担误期赔偿或终止协议的责任。</w:t>
      </w:r>
    </w:p>
    <w:p>
      <w:pPr>
        <w:pStyle w:val="13"/>
        <w:numPr>
          <w:numId w:val="0"/>
        </w:numPr>
        <w:tabs>
          <w:tab w:val="left" w:pos="1388"/>
        </w:tabs>
        <w:spacing w:line="334" w:lineRule="auto"/>
        <w:ind w:right="-73" w:rightChars="-33" w:firstLine="556" w:firstLineChars="200"/>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pacing w:val="-1"/>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1"/>
          <w:sz w:val="28"/>
          <w:szCs w:val="28"/>
          <w14:textFill>
            <w14:solidFill>
              <w14:schemeClr w14:val="tx1"/>
            </w14:solidFill>
          </w14:textFill>
        </w:rPr>
        <w:t>本条所述的“不可抗力”系指协议当事人无法控制、不可预见</w:t>
      </w:r>
      <w:r>
        <w:rPr>
          <w:rFonts w:hint="eastAsia" w:ascii="仿宋_GB2312" w:hAnsi="仿宋_GB2312" w:eastAsia="仿宋_GB2312" w:cs="仿宋_GB2312"/>
          <w:color w:val="000000" w:themeColor="text1"/>
          <w:spacing w:val="-3"/>
          <w:sz w:val="28"/>
          <w:szCs w:val="28"/>
          <w14:textFill>
            <w14:solidFill>
              <w14:schemeClr w14:val="tx1"/>
            </w14:solidFill>
          </w14:textFill>
        </w:rPr>
        <w:t>的事件，但不包括协议当事人的违约或疏忽。这些事件包括但不限于：</w:t>
      </w:r>
    </w:p>
    <w:p>
      <w:pPr>
        <w:pStyle w:val="4"/>
        <w:spacing w:line="334" w:lineRule="auto"/>
        <w:ind w:left="0" w:leftChars="0" w:right="-73" w:rightChars="-33" w:firstLine="602" w:firstLineChars="22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pacing w:val="-3"/>
          <w14:textFill>
            <w14:solidFill>
              <w14:schemeClr w14:val="tx1"/>
            </w14:solidFill>
          </w14:textFill>
        </w:rPr>
        <w:t>①战争、严重火灾、洪水、台风、地震、疫情；</w:t>
      </w:r>
    </w:p>
    <w:p>
      <w:pPr>
        <w:pStyle w:val="4"/>
        <w:spacing w:line="334" w:lineRule="auto"/>
        <w:ind w:left="0" w:leftChars="0" w:right="-73" w:rightChars="-33" w:firstLine="616" w:firstLineChars="22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②国家及省市药品集中采购政策调整；</w:t>
      </w:r>
    </w:p>
    <w:p>
      <w:pPr>
        <w:pStyle w:val="4"/>
        <w:spacing w:line="334" w:lineRule="auto"/>
        <w:ind w:left="0" w:leftChars="0" w:right="-73" w:rightChars="-33" w:firstLine="616" w:firstLineChars="22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③甲、乙、丙三方商定的事件。</w:t>
      </w:r>
    </w:p>
    <w:p>
      <w:pPr>
        <w:pStyle w:val="13"/>
        <w:numPr>
          <w:numId w:val="0"/>
        </w:numPr>
        <w:tabs>
          <w:tab w:val="left" w:pos="1388"/>
        </w:tabs>
        <w:spacing w:line="334" w:lineRule="auto"/>
        <w:ind w:right="-73" w:rightChars="-33" w:firstLine="560" w:firstLineChars="200"/>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在不可抗力事件发生后，协议当事人应尽快以书面形式将不可</w:t>
      </w:r>
      <w:r>
        <w:rPr>
          <w:rFonts w:hint="eastAsia" w:ascii="仿宋_GB2312" w:hAnsi="仿宋_GB2312" w:eastAsia="仿宋_GB2312" w:cs="仿宋_GB2312"/>
          <w:color w:val="000000" w:themeColor="text1"/>
          <w:spacing w:val="-2"/>
          <w:sz w:val="28"/>
          <w:szCs w:val="28"/>
          <w14:textFill>
            <w14:solidFill>
              <w14:schemeClr w14:val="tx1"/>
            </w14:solidFill>
          </w14:textFill>
        </w:rPr>
        <w:t>抗力的情况和原因通知其他各方当事人，并应在事件发生后</w:t>
      </w:r>
      <w:r>
        <w:rPr>
          <w:rFonts w:hint="eastAsia" w:ascii="仿宋_GB2312" w:hAnsi="仿宋_GB2312" w:eastAsia="仿宋_GB2312" w:cs="仿宋_GB2312"/>
          <w:color w:val="000000" w:themeColor="text1"/>
          <w:sz w:val="28"/>
          <w:szCs w:val="28"/>
          <w14:textFill>
            <w14:solidFill>
              <w14:schemeClr w14:val="tx1"/>
            </w14:solidFill>
          </w14:textFill>
        </w:rPr>
        <w:t>15</w:t>
      </w:r>
      <w:r>
        <w:rPr>
          <w:rFonts w:hint="eastAsia" w:ascii="仿宋_GB2312" w:hAnsi="仿宋_GB2312" w:eastAsia="仿宋_GB2312" w:cs="仿宋_GB2312"/>
          <w:color w:val="000000" w:themeColor="text1"/>
          <w:spacing w:val="-8"/>
          <w:sz w:val="28"/>
          <w:szCs w:val="28"/>
          <w14:textFill>
            <w14:solidFill>
              <w14:schemeClr w14:val="tx1"/>
            </w14:solidFill>
          </w14:textFill>
        </w:rPr>
        <w:t>日内，提供</w:t>
      </w:r>
      <w:r>
        <w:rPr>
          <w:rFonts w:hint="eastAsia" w:ascii="仿宋_GB2312" w:hAnsi="仿宋_GB2312" w:eastAsia="仿宋_GB2312" w:cs="仿宋_GB2312"/>
          <w:color w:val="000000" w:themeColor="text1"/>
          <w:spacing w:val="-9"/>
          <w:sz w:val="28"/>
          <w:szCs w:val="28"/>
          <w14:textFill>
            <w14:solidFill>
              <w14:schemeClr w14:val="tx1"/>
            </w14:solidFill>
          </w14:textFill>
        </w:rPr>
        <w:t>不可抗力详情及协议不能履行、或者部分不能履行、或者延期履行的理由</w:t>
      </w:r>
      <w:r>
        <w:rPr>
          <w:rFonts w:hint="eastAsia" w:ascii="仿宋_GB2312" w:hAnsi="仿宋_GB2312" w:eastAsia="仿宋_GB2312" w:cs="仿宋_GB2312"/>
          <w:color w:val="000000" w:themeColor="text1"/>
          <w:spacing w:val="-11"/>
          <w:sz w:val="28"/>
          <w:szCs w:val="28"/>
          <w14:textFill>
            <w14:solidFill>
              <w14:schemeClr w14:val="tx1"/>
            </w14:solidFill>
          </w14:textFill>
        </w:rPr>
        <w:t>的有效证明文件，此项证明文件应有不可抗力发生地区的公证机构出具。除</w:t>
      </w:r>
      <w:r>
        <w:rPr>
          <w:rFonts w:hint="eastAsia" w:ascii="仿宋_GB2312" w:hAnsi="仿宋_GB2312" w:eastAsia="仿宋_GB2312" w:cs="仿宋_GB2312"/>
          <w:color w:val="000000" w:themeColor="text1"/>
          <w:spacing w:val="-10"/>
          <w:sz w:val="28"/>
          <w:szCs w:val="28"/>
          <w14:textFill>
            <w14:solidFill>
              <w14:schemeClr w14:val="tx1"/>
            </w14:solidFill>
          </w14:textFill>
        </w:rPr>
        <w:t>其他各方当事人另行要求外，协议当事人应尽实际可能继续履行协议义务</w:t>
      </w:r>
      <w:r>
        <w:rPr>
          <w:rFonts w:hint="eastAsia" w:ascii="仿宋_GB2312" w:hAnsi="仿宋_GB2312" w:eastAsia="仿宋_GB2312" w:cs="仿宋_GB2312"/>
          <w:color w:val="000000" w:themeColor="text1"/>
          <w:spacing w:val="-9"/>
          <w:sz w:val="28"/>
          <w:szCs w:val="28"/>
          <w14:textFill>
            <w14:solidFill>
              <w14:schemeClr w14:val="tx1"/>
            </w14:solidFill>
          </w14:textFill>
        </w:rPr>
        <w:t>，以及寻求采取合理的方案履行不受不可抗力影响的其他事项。不可抗力</w:t>
      </w:r>
      <w:r>
        <w:rPr>
          <w:rFonts w:hint="eastAsia" w:ascii="仿宋_GB2312" w:hAnsi="仿宋_GB2312" w:eastAsia="仿宋_GB2312" w:cs="仿宋_GB2312"/>
          <w:color w:val="000000" w:themeColor="text1"/>
          <w:spacing w:val="-12"/>
          <w:sz w:val="28"/>
          <w:szCs w:val="28"/>
          <w14:textFill>
            <w14:solidFill>
              <w14:schemeClr w14:val="tx1"/>
            </w14:solidFill>
          </w14:textFill>
        </w:rPr>
        <w:t>事件影响消除后，甲、乙、丙三方可通过协商在合理的时间内达成进一步</w:t>
      </w:r>
      <w:r>
        <w:rPr>
          <w:rFonts w:hint="eastAsia" w:ascii="仿宋_GB2312" w:hAnsi="仿宋_GB2312" w:eastAsia="仿宋_GB2312" w:cs="仿宋_GB2312"/>
          <w:color w:val="000000" w:themeColor="text1"/>
          <w:spacing w:val="-3"/>
          <w:sz w:val="28"/>
          <w:szCs w:val="28"/>
          <w14:textFill>
            <w14:solidFill>
              <w14:schemeClr w14:val="tx1"/>
            </w14:solidFill>
          </w14:textFill>
        </w:rPr>
        <w:t>履行协议的法律文件。</w:t>
      </w:r>
    </w:p>
    <w:p>
      <w:pPr>
        <w:pStyle w:val="13"/>
        <w:numPr>
          <w:numId w:val="0"/>
        </w:numPr>
        <w:tabs>
          <w:tab w:val="left" w:pos="1104"/>
        </w:tabs>
        <w:spacing w:line="334" w:lineRule="auto"/>
        <w:ind w:right="-73" w:rightChars="-33" w:firstLine="552" w:firstLineChars="200"/>
        <w:jc w:val="both"/>
        <w:rPr>
          <w:rFonts w:ascii="仿宋_GB2312" w:hAnsi="仿宋_GB2312" w:eastAsia="仿宋_GB2312" w:cs="仿宋_GB2312"/>
          <w:color w:val="000000" w:themeColor="text1"/>
          <w:sz w:val="28"/>
          <w:szCs w:val="28"/>
          <w14:textFill>
            <w14:solidFill>
              <w14:schemeClr w14:val="tx1"/>
            </w14:solidFill>
          </w14:textFill>
        </w:rPr>
      </w:pPr>
      <w:bookmarkStart w:id="20" w:name="17.争议的解决"/>
      <w:bookmarkEnd w:id="20"/>
      <w:r>
        <w:rPr>
          <w:rFonts w:hint="eastAsia" w:ascii="仿宋_GB2312" w:hAnsi="仿宋_GB2312" w:eastAsia="仿宋_GB2312" w:cs="仿宋_GB2312"/>
          <w:color w:val="000000" w:themeColor="text1"/>
          <w:spacing w:val="-2"/>
          <w:sz w:val="28"/>
          <w:szCs w:val="28"/>
          <w:lang w:val="en-US" w:eastAsia="zh-CN"/>
          <w14:textFill>
            <w14:solidFill>
              <w14:schemeClr w14:val="tx1"/>
            </w14:solidFill>
          </w14:textFill>
        </w:rPr>
        <w:t>16.</w:t>
      </w:r>
      <w:r>
        <w:rPr>
          <w:rFonts w:hint="eastAsia" w:ascii="仿宋_GB2312" w:hAnsi="仿宋_GB2312" w:eastAsia="仿宋_GB2312" w:cs="仿宋_GB2312"/>
          <w:color w:val="000000" w:themeColor="text1"/>
          <w:spacing w:val="-2"/>
          <w:sz w:val="28"/>
          <w:szCs w:val="28"/>
          <w14:textFill>
            <w14:solidFill>
              <w14:schemeClr w14:val="tx1"/>
            </w14:solidFill>
          </w14:textFill>
        </w:rPr>
        <w:t>争议的解决</w:t>
      </w:r>
    </w:p>
    <w:p>
      <w:pPr>
        <w:pStyle w:val="4"/>
        <w:spacing w:line="334" w:lineRule="auto"/>
        <w:ind w:left="0" w:leftChars="0" w:right="-73" w:rightChars="-33" w:firstLine="512" w:firstLineChars="200"/>
        <w:jc w:val="both"/>
        <w:rPr>
          <w:rFonts w:ascii="仿宋_GB2312" w:hAnsi="仿宋_GB2312" w:eastAsia="仿宋_GB2312" w:cs="仿宋_GB2312"/>
          <w:color w:val="000000" w:themeColor="text1"/>
          <w:spacing w:val="-12"/>
          <w14:textFill>
            <w14:solidFill>
              <w14:schemeClr w14:val="tx1"/>
            </w14:solidFill>
          </w14:textFill>
        </w:rPr>
      </w:pPr>
      <w:r>
        <w:rPr>
          <w:rFonts w:hint="eastAsia" w:ascii="仿宋_GB2312" w:hAnsi="仿宋_GB2312" w:eastAsia="仿宋_GB2312" w:cs="仿宋_GB2312"/>
          <w:color w:val="000000" w:themeColor="text1"/>
          <w:spacing w:val="-12"/>
          <w14:textFill>
            <w14:solidFill>
              <w14:schemeClr w14:val="tx1"/>
            </w14:solidFill>
          </w14:textFill>
        </w:rPr>
        <w:t>甲方有权督促乙方、丙方严格履行协议义务，并追究乙方、丙方的违约责任。</w:t>
      </w:r>
    </w:p>
    <w:p>
      <w:pPr>
        <w:pStyle w:val="4"/>
        <w:spacing w:line="334" w:lineRule="auto"/>
        <w:ind w:left="0" w:leftChars="0" w:right="-73" w:rightChars="-33" w:firstLine="512"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pacing w:val="-12"/>
          <w14:textFill>
            <w14:solidFill>
              <w14:schemeClr w14:val="tx1"/>
            </w14:solidFill>
          </w14:textFill>
        </w:rPr>
        <w:t>因协议引起的或与本协议有关的任何争议，由三方当事人协商解决；也可以向有关部门申请调解。协商或调解不成的，任何一方当事人均可依照有关法律向甲方所在地有管辖权人民法院起诉。</w:t>
      </w:r>
    </w:p>
    <w:p>
      <w:pPr>
        <w:pStyle w:val="13"/>
        <w:numPr>
          <w:numId w:val="0"/>
        </w:numPr>
        <w:tabs>
          <w:tab w:val="left" w:pos="1104"/>
        </w:tabs>
        <w:spacing w:line="334" w:lineRule="auto"/>
        <w:ind w:right="-73" w:rightChars="-33" w:firstLine="552" w:firstLineChars="200"/>
        <w:jc w:val="both"/>
        <w:rPr>
          <w:rFonts w:ascii="仿宋_GB2312" w:hAnsi="仿宋_GB2312" w:eastAsia="仿宋_GB2312" w:cs="仿宋_GB2312"/>
          <w:color w:val="000000" w:themeColor="text1"/>
          <w:sz w:val="28"/>
          <w:szCs w:val="28"/>
          <w14:textFill>
            <w14:solidFill>
              <w14:schemeClr w14:val="tx1"/>
            </w14:solidFill>
          </w14:textFill>
        </w:rPr>
      </w:pPr>
      <w:bookmarkStart w:id="21" w:name="18.协议的终止"/>
      <w:bookmarkEnd w:id="21"/>
      <w:r>
        <w:rPr>
          <w:rFonts w:hint="eastAsia" w:ascii="仿宋_GB2312" w:hAnsi="仿宋_GB2312" w:eastAsia="仿宋_GB2312" w:cs="仿宋_GB2312"/>
          <w:color w:val="000000" w:themeColor="text1"/>
          <w:spacing w:val="-2"/>
          <w:sz w:val="28"/>
          <w:szCs w:val="28"/>
          <w:lang w:val="en-US" w:eastAsia="zh-CN"/>
          <w14:textFill>
            <w14:solidFill>
              <w14:schemeClr w14:val="tx1"/>
            </w14:solidFill>
          </w14:textFill>
        </w:rPr>
        <w:t>17.</w:t>
      </w:r>
      <w:r>
        <w:rPr>
          <w:rFonts w:hint="eastAsia" w:ascii="仿宋_GB2312" w:hAnsi="仿宋_GB2312" w:eastAsia="仿宋_GB2312" w:cs="仿宋_GB2312"/>
          <w:color w:val="000000" w:themeColor="text1"/>
          <w:spacing w:val="-2"/>
          <w:sz w:val="28"/>
          <w:szCs w:val="28"/>
          <w14:textFill>
            <w14:solidFill>
              <w14:schemeClr w14:val="tx1"/>
            </w14:solidFill>
          </w14:textFill>
        </w:rPr>
        <w:t>协议的终止</w:t>
      </w:r>
    </w:p>
    <w:p>
      <w:pPr>
        <w:pStyle w:val="13"/>
        <w:numPr>
          <w:numId w:val="0"/>
        </w:numPr>
        <w:tabs>
          <w:tab w:val="left" w:pos="1388"/>
        </w:tabs>
        <w:spacing w:line="334" w:lineRule="auto"/>
        <w:ind w:right="-73" w:rightChars="-33" w:firstLine="560" w:firstLineChars="200"/>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在下述情况下，甲方可通过发出书面通知书的方式，部分或全</w:t>
      </w:r>
      <w:r>
        <w:rPr>
          <w:rFonts w:hint="eastAsia" w:ascii="仿宋_GB2312" w:hAnsi="仿宋_GB2312" w:eastAsia="仿宋_GB2312" w:cs="仿宋_GB2312"/>
          <w:color w:val="000000" w:themeColor="text1"/>
          <w:spacing w:val="-12"/>
          <w:sz w:val="28"/>
          <w:szCs w:val="28"/>
          <w14:textFill>
            <w14:solidFill>
              <w14:schemeClr w14:val="tx1"/>
            </w14:solidFill>
          </w14:textFill>
        </w:rPr>
        <w:t>部终止协议，且该终止协议的行为将不损害或影响甲方已经采取或将要采</w:t>
      </w:r>
      <w:r>
        <w:rPr>
          <w:rFonts w:hint="eastAsia" w:ascii="仿宋_GB2312" w:hAnsi="仿宋_GB2312" w:eastAsia="仿宋_GB2312" w:cs="仿宋_GB2312"/>
          <w:color w:val="000000" w:themeColor="text1"/>
          <w:spacing w:val="-5"/>
          <w:sz w:val="28"/>
          <w:szCs w:val="28"/>
          <w14:textFill>
            <w14:solidFill>
              <w14:schemeClr w14:val="tx1"/>
            </w14:solidFill>
          </w14:textFill>
        </w:rPr>
        <w:t>取的任何行动或补救措施的权利：</w:t>
      </w:r>
    </w:p>
    <w:p>
      <w:pPr>
        <w:pStyle w:val="4"/>
        <w:spacing w:line="334" w:lineRule="auto"/>
        <w:ind w:left="0" w:leftChars="0" w:right="-73" w:rightChars="-33" w:firstLine="563" w:firstLineChars="22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pacing w:val="-12"/>
          <w14:textFill>
            <w14:solidFill>
              <w14:schemeClr w14:val="tx1"/>
            </w14:solidFill>
          </w14:textFill>
        </w:rPr>
        <w:t>①如果乙方、丙方中任何一方未能在协议规定的限期或甲方同意延长</w:t>
      </w:r>
      <w:r>
        <w:rPr>
          <w:rFonts w:hint="eastAsia" w:ascii="仿宋_GB2312" w:hAnsi="仿宋_GB2312" w:eastAsia="仿宋_GB2312" w:cs="仿宋_GB2312"/>
          <w:color w:val="000000" w:themeColor="text1"/>
          <w:spacing w:val="-5"/>
          <w14:textFill>
            <w14:solidFill>
              <w14:schemeClr w14:val="tx1"/>
            </w14:solidFill>
          </w14:textFill>
        </w:rPr>
        <w:t>的限期内提供部分或全部药品；</w:t>
      </w:r>
    </w:p>
    <w:p>
      <w:pPr>
        <w:pStyle w:val="4"/>
        <w:spacing w:line="334" w:lineRule="auto"/>
        <w:ind w:left="0" w:leftChars="0" w:right="-73" w:rightChars="-33" w:firstLine="567" w:firstLineChars="22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pacing w:val="-11"/>
          <w14:textFill>
            <w14:solidFill>
              <w14:schemeClr w14:val="tx1"/>
            </w14:solidFill>
          </w14:textFill>
        </w:rPr>
        <w:t>②乙方、丙方中任何一方发生任何违约行为且甲方认为其采取的补救</w:t>
      </w:r>
      <w:r>
        <w:rPr>
          <w:rFonts w:hint="eastAsia" w:ascii="仿宋_GB2312" w:hAnsi="仿宋_GB2312" w:eastAsia="仿宋_GB2312" w:cs="仿宋_GB2312"/>
          <w:color w:val="000000" w:themeColor="text1"/>
          <w:spacing w:val="-5"/>
          <w14:textFill>
            <w14:solidFill>
              <w14:schemeClr w14:val="tx1"/>
            </w14:solidFill>
          </w14:textFill>
        </w:rPr>
        <w:t>措施无效或不及时的情况；</w:t>
      </w:r>
    </w:p>
    <w:p>
      <w:pPr>
        <w:pStyle w:val="4"/>
        <w:spacing w:line="334" w:lineRule="auto"/>
        <w:ind w:left="0" w:leftChars="0" w:right="-73" w:rightChars="-33" w:firstLine="572" w:firstLineChars="22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pacing w:val="-10"/>
          <w14:textFill>
            <w14:solidFill>
              <w14:schemeClr w14:val="tx1"/>
            </w14:solidFill>
          </w14:textFill>
        </w:rPr>
        <w:t>③乙方、丙方中任何一方丧失必要的经营资质，不能再从事药品生产</w:t>
      </w:r>
      <w:r>
        <w:rPr>
          <w:rFonts w:hint="eastAsia" w:ascii="仿宋_GB2312" w:hAnsi="仿宋_GB2312" w:eastAsia="仿宋_GB2312" w:cs="仿宋_GB2312"/>
          <w:color w:val="000000" w:themeColor="text1"/>
          <w:spacing w:val="-4"/>
          <w14:textFill>
            <w14:solidFill>
              <w14:schemeClr w14:val="tx1"/>
            </w14:solidFill>
          </w14:textFill>
        </w:rPr>
        <w:t>或经营活动的情况；</w:t>
      </w:r>
    </w:p>
    <w:p>
      <w:pPr>
        <w:pStyle w:val="4"/>
        <w:spacing w:line="334" w:lineRule="auto"/>
        <w:ind w:left="0" w:leftChars="0" w:right="-73" w:rightChars="-33" w:firstLine="572" w:firstLineChars="22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pacing w:val="-10"/>
          <w14:textFill>
            <w14:solidFill>
              <w14:schemeClr w14:val="tx1"/>
            </w14:solidFill>
          </w14:textFill>
        </w:rPr>
        <w:t>④乙方、丙方中任何一方违反本协议约定，侵害第三方的专利权、商</w:t>
      </w:r>
      <w:r>
        <w:rPr>
          <w:rFonts w:hint="eastAsia" w:ascii="仿宋_GB2312" w:hAnsi="仿宋_GB2312" w:eastAsia="仿宋_GB2312" w:cs="仿宋_GB2312"/>
          <w:color w:val="000000" w:themeColor="text1"/>
          <w:spacing w:val="-4"/>
          <w14:textFill>
            <w14:solidFill>
              <w14:schemeClr w14:val="tx1"/>
            </w14:solidFill>
          </w14:textFill>
        </w:rPr>
        <w:t>标权、保护期或商业秘密的情况；</w:t>
      </w:r>
    </w:p>
    <w:p>
      <w:pPr>
        <w:pStyle w:val="4"/>
        <w:spacing w:line="334" w:lineRule="auto"/>
        <w:ind w:left="0" w:leftChars="0" w:right="-73" w:rightChars="-33" w:firstLine="572" w:firstLineChars="220"/>
        <w:jc w:val="both"/>
        <w:rPr>
          <w:rFonts w:ascii="仿宋_GB2312" w:hAnsi="仿宋_GB2312" w:eastAsia="仿宋_GB2312" w:cs="仿宋_GB2312"/>
          <w:color w:val="000000" w:themeColor="text1"/>
          <w:spacing w:val="-10"/>
          <w14:textFill>
            <w14:solidFill>
              <w14:schemeClr w14:val="tx1"/>
            </w14:solidFill>
          </w14:textFill>
        </w:rPr>
      </w:pPr>
      <w:r>
        <w:rPr>
          <w:rFonts w:hint="eastAsia" w:ascii="仿宋_GB2312" w:hAnsi="仿宋_GB2312" w:eastAsia="仿宋_GB2312" w:cs="仿宋_GB2312"/>
          <w:color w:val="000000" w:themeColor="text1"/>
          <w:spacing w:val="-10"/>
          <w14:textFill>
            <w14:solidFill>
              <w14:schemeClr w14:val="tx1"/>
            </w14:solidFill>
          </w14:textFill>
        </w:rPr>
        <w:t>⑤甲方认定乙方、丙方中任何一方在本协议的实施过程中有严重违法行为；</w:t>
      </w:r>
    </w:p>
    <w:p>
      <w:pPr>
        <w:pStyle w:val="4"/>
        <w:spacing w:line="334" w:lineRule="auto"/>
        <w:ind w:left="0" w:leftChars="0" w:right="-73" w:rightChars="-33" w:firstLine="616" w:firstLineChars="22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⑥甲方认为乙方、丙方中任何一方未能履行协议规定的其它义务的情形。</w:t>
      </w:r>
    </w:p>
    <w:p>
      <w:pPr>
        <w:pStyle w:val="13"/>
        <w:numPr>
          <w:numId w:val="0"/>
        </w:numPr>
        <w:tabs>
          <w:tab w:val="left" w:pos="1388"/>
        </w:tabs>
        <w:spacing w:line="334" w:lineRule="auto"/>
        <w:ind w:right="-73" w:rightChars="-33" w:firstLine="560" w:firstLineChars="200"/>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如果乙方、丙方中任何一方破产或丧失履行能力，甲方可在任</w:t>
      </w:r>
      <w:r>
        <w:rPr>
          <w:rFonts w:hint="eastAsia" w:ascii="仿宋_GB2312" w:hAnsi="仿宋_GB2312" w:eastAsia="仿宋_GB2312" w:cs="仿宋_GB2312"/>
          <w:color w:val="000000" w:themeColor="text1"/>
          <w:spacing w:val="-9"/>
          <w:sz w:val="28"/>
          <w:szCs w:val="28"/>
          <w14:textFill>
            <w14:solidFill>
              <w14:schemeClr w14:val="tx1"/>
            </w14:solidFill>
          </w14:textFill>
        </w:rPr>
        <w:t>何时候以书面通知的方式，提出终止协议而不承担任何违约责任。该终止</w:t>
      </w:r>
      <w:r>
        <w:rPr>
          <w:rFonts w:hint="eastAsia" w:ascii="仿宋_GB2312" w:hAnsi="仿宋_GB2312" w:eastAsia="仿宋_GB2312" w:cs="仿宋_GB2312"/>
          <w:color w:val="000000" w:themeColor="text1"/>
          <w:spacing w:val="3"/>
          <w:sz w:val="28"/>
          <w:szCs w:val="28"/>
          <w14:textFill>
            <w14:solidFill>
              <w14:schemeClr w14:val="tx1"/>
            </w14:solidFill>
          </w14:textFill>
        </w:rPr>
        <w:t>协议的行为将不损害或影响甲方已经采取或将要采取的任何行动或补救</w:t>
      </w:r>
      <w:r>
        <w:rPr>
          <w:rFonts w:hint="eastAsia" w:ascii="仿宋_GB2312" w:hAnsi="仿宋_GB2312" w:eastAsia="仿宋_GB2312" w:cs="仿宋_GB2312"/>
          <w:color w:val="000000" w:themeColor="text1"/>
          <w:spacing w:val="-1"/>
          <w:sz w:val="28"/>
          <w:szCs w:val="28"/>
          <w14:textFill>
            <w14:solidFill>
              <w14:schemeClr w14:val="tx1"/>
            </w14:solidFill>
          </w14:textFill>
        </w:rPr>
        <w:t>措施的权利。</w:t>
      </w:r>
    </w:p>
    <w:p>
      <w:pPr>
        <w:pStyle w:val="13"/>
        <w:numPr>
          <w:numId w:val="0"/>
        </w:numPr>
        <w:tabs>
          <w:tab w:val="left" w:pos="1388"/>
        </w:tabs>
        <w:spacing w:line="334" w:lineRule="auto"/>
        <w:ind w:right="-73" w:rightChars="-33" w:firstLine="560" w:firstLineChars="200"/>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在不可抗力发生的情况下，甲、乙、丙三方可根据情况变更或</w:t>
      </w:r>
      <w:r>
        <w:rPr>
          <w:rFonts w:hint="eastAsia" w:ascii="仿宋_GB2312" w:hAnsi="仿宋_GB2312" w:eastAsia="仿宋_GB2312" w:cs="仿宋_GB2312"/>
          <w:color w:val="000000" w:themeColor="text1"/>
          <w:spacing w:val="-3"/>
          <w:sz w:val="28"/>
          <w:szCs w:val="28"/>
          <w14:textFill>
            <w14:solidFill>
              <w14:schemeClr w14:val="tx1"/>
            </w14:solidFill>
          </w14:textFill>
        </w:rPr>
        <w:t>终止本协议的履行。</w:t>
      </w:r>
    </w:p>
    <w:p>
      <w:pPr>
        <w:pStyle w:val="13"/>
        <w:numPr>
          <w:numId w:val="0"/>
        </w:numPr>
        <w:tabs>
          <w:tab w:val="left" w:pos="1388"/>
        </w:tabs>
        <w:spacing w:line="334" w:lineRule="auto"/>
        <w:ind w:right="-73" w:rightChars="-33" w:firstLine="560" w:firstLineChars="200"/>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协议终止前约定履行但尚未履行的部分，除法律法规有明确规</w:t>
      </w:r>
      <w:r>
        <w:rPr>
          <w:rFonts w:hint="eastAsia" w:ascii="仿宋_GB2312" w:hAnsi="仿宋_GB2312" w:eastAsia="仿宋_GB2312" w:cs="仿宋_GB2312"/>
          <w:color w:val="000000" w:themeColor="text1"/>
          <w:spacing w:val="-3"/>
          <w:sz w:val="28"/>
          <w:szCs w:val="28"/>
          <w14:textFill>
            <w14:solidFill>
              <w14:schemeClr w14:val="tx1"/>
            </w14:solidFill>
          </w14:textFill>
        </w:rPr>
        <w:t>定不能继续履行的，甲、乙、丙三方应继续履行至结束。</w:t>
      </w:r>
    </w:p>
    <w:p>
      <w:pPr>
        <w:pStyle w:val="13"/>
        <w:numPr>
          <w:numId w:val="0"/>
        </w:numPr>
        <w:tabs>
          <w:tab w:val="left" w:pos="1104"/>
        </w:tabs>
        <w:spacing w:line="334" w:lineRule="auto"/>
        <w:ind w:right="-73" w:rightChars="-33" w:firstLine="548" w:firstLineChars="200"/>
        <w:jc w:val="both"/>
        <w:rPr>
          <w:rFonts w:ascii="仿宋_GB2312" w:hAnsi="仿宋_GB2312" w:eastAsia="仿宋_GB2312" w:cs="仿宋_GB2312"/>
          <w:color w:val="000000" w:themeColor="text1"/>
          <w:sz w:val="28"/>
          <w:szCs w:val="28"/>
          <w14:textFill>
            <w14:solidFill>
              <w14:schemeClr w14:val="tx1"/>
            </w14:solidFill>
          </w14:textFill>
        </w:rPr>
      </w:pPr>
      <w:bookmarkStart w:id="22" w:name="19.协议修改与补充"/>
      <w:bookmarkEnd w:id="22"/>
      <w:r>
        <w:rPr>
          <w:rFonts w:hint="eastAsia" w:ascii="仿宋_GB2312" w:hAnsi="仿宋_GB2312" w:eastAsia="仿宋_GB2312" w:cs="仿宋_GB2312"/>
          <w:color w:val="000000" w:themeColor="text1"/>
          <w:spacing w:val="-3"/>
          <w:sz w:val="28"/>
          <w:szCs w:val="28"/>
          <w:lang w:val="en-US" w:eastAsia="zh-CN"/>
          <w14:textFill>
            <w14:solidFill>
              <w14:schemeClr w14:val="tx1"/>
            </w14:solidFill>
          </w14:textFill>
        </w:rPr>
        <w:t>18.</w:t>
      </w:r>
      <w:r>
        <w:rPr>
          <w:rFonts w:hint="eastAsia" w:ascii="仿宋_GB2312" w:hAnsi="仿宋_GB2312" w:eastAsia="仿宋_GB2312" w:cs="仿宋_GB2312"/>
          <w:color w:val="000000" w:themeColor="text1"/>
          <w:spacing w:val="-3"/>
          <w:sz w:val="28"/>
          <w:szCs w:val="28"/>
          <w14:textFill>
            <w14:solidFill>
              <w14:schemeClr w14:val="tx1"/>
            </w14:solidFill>
          </w14:textFill>
        </w:rPr>
        <w:t>协议修改与补充</w:t>
      </w:r>
    </w:p>
    <w:p>
      <w:pPr>
        <w:pStyle w:val="13"/>
        <w:numPr>
          <w:numId w:val="0"/>
        </w:numPr>
        <w:tabs>
          <w:tab w:val="left" w:pos="1388"/>
        </w:tabs>
        <w:spacing w:line="334" w:lineRule="auto"/>
        <w:ind w:right="-73" w:rightChars="-33" w:firstLine="560" w:firstLineChars="200"/>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本协议的条款不得有任何变化；如有变化或修改，甲、乙、丙</w:t>
      </w:r>
      <w:r>
        <w:rPr>
          <w:rFonts w:hint="eastAsia" w:ascii="仿宋_GB2312" w:hAnsi="仿宋_GB2312" w:eastAsia="仿宋_GB2312" w:cs="仿宋_GB2312"/>
          <w:color w:val="000000" w:themeColor="text1"/>
          <w:spacing w:val="-3"/>
          <w:sz w:val="28"/>
          <w:szCs w:val="28"/>
          <w14:textFill>
            <w14:solidFill>
              <w14:schemeClr w14:val="tx1"/>
            </w14:solidFill>
          </w14:textFill>
        </w:rPr>
        <w:t>三方可根据需要就本协议未尽事宜另行签订补充协议作为本协议的附件，附件与本协议具有同等的法律效力。</w:t>
      </w:r>
    </w:p>
    <w:p>
      <w:pPr>
        <w:pStyle w:val="13"/>
        <w:numPr>
          <w:numId w:val="0"/>
        </w:numPr>
        <w:tabs>
          <w:tab w:val="left" w:pos="660"/>
        </w:tabs>
        <w:spacing w:line="334" w:lineRule="auto"/>
        <w:ind w:right="-73" w:rightChars="-33" w:firstLine="488" w:firstLineChars="200"/>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8"/>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pacing w:val="-18"/>
          <w:sz w:val="28"/>
          <w:szCs w:val="28"/>
          <w14:textFill>
            <w14:solidFill>
              <w14:schemeClr w14:val="tx1"/>
            </w14:solidFill>
          </w14:textFill>
        </w:rPr>
        <w:t>如协议约定的采购数量不能满足临床用药需要，甲方可以提出申</w:t>
      </w:r>
      <w:r>
        <w:rPr>
          <w:rFonts w:hint="eastAsia" w:ascii="仿宋_GB2312" w:hAnsi="仿宋_GB2312" w:eastAsia="仿宋_GB2312" w:cs="仿宋_GB2312"/>
          <w:color w:val="000000" w:themeColor="text1"/>
          <w:spacing w:val="-15"/>
          <w:sz w:val="28"/>
          <w:szCs w:val="28"/>
          <w14:textFill>
            <w14:solidFill>
              <w14:schemeClr w14:val="tx1"/>
            </w14:solidFill>
          </w14:textFill>
        </w:rPr>
        <w:t>请追加采购数量，并另行签订三方补充协议，乙方、丙方原则上不得拒绝。</w:t>
      </w:r>
    </w:p>
    <w:p>
      <w:pPr>
        <w:pStyle w:val="4"/>
        <w:ind w:left="0" w:right="-73" w:rightChars="-33" w:firstLine="921" w:firstLineChars="329"/>
        <w:jc w:val="both"/>
        <w:rPr>
          <w:rFonts w:ascii="仿宋_GB2312" w:hAnsi="仿宋_GB2312" w:eastAsia="仿宋_GB2312" w:cs="仿宋_GB2312"/>
          <w:color w:val="000000" w:themeColor="text1"/>
          <w14:textFill>
            <w14:solidFill>
              <w14:schemeClr w14:val="tx1"/>
            </w14:solidFill>
          </w14:textFill>
        </w:rPr>
      </w:pPr>
      <w:bookmarkStart w:id="23" w:name="20.其他"/>
      <w:bookmarkEnd w:id="23"/>
    </w:p>
    <w:p>
      <w:pPr>
        <w:widowControl/>
        <w:ind w:right="-73" w:rightChars="-33" w:firstLine="560" w:firstLineChars="200"/>
        <w:rPr>
          <w:rFonts w:ascii="仿宋_GB2312" w:hAnsi="仿宋_GB2312" w:eastAsia="仿宋_GB2312" w:cs="仿宋_GB2312"/>
          <w:color w:val="000000" w:themeColor="text1"/>
          <w:sz w:val="28"/>
          <w:szCs w:val="28"/>
          <w:lang w:val="en-US" w:bidi="ar"/>
          <w14:textFill>
            <w14:solidFill>
              <w14:schemeClr w14:val="tx1"/>
            </w14:solidFill>
          </w14:textFill>
        </w:rPr>
      </w:pPr>
      <w:r>
        <w:rPr>
          <w:rFonts w:hint="eastAsia" w:ascii="仿宋_GB2312" w:hAnsi="仿宋_GB2312" w:eastAsia="仿宋_GB2312" w:cs="仿宋_GB2312"/>
          <w:color w:val="000000" w:themeColor="text1"/>
          <w:sz w:val="28"/>
          <w:szCs w:val="28"/>
          <w:lang w:val="en-US" w:bidi="ar"/>
          <w14:textFill>
            <w14:solidFill>
              <w14:schemeClr w14:val="tx1"/>
            </w14:solidFill>
          </w14:textFill>
        </w:rPr>
        <w:t>附件：中选药品采购明细表</w:t>
      </w:r>
    </w:p>
    <w:p>
      <w:pPr>
        <w:pStyle w:val="4"/>
        <w:ind w:left="0" w:right="-73" w:rightChars="-33" w:firstLine="921" w:firstLineChars="329"/>
        <w:jc w:val="both"/>
        <w:rPr>
          <w:rFonts w:ascii="仿宋_GB2312" w:hAnsi="仿宋_GB2312" w:eastAsia="仿宋_GB2312" w:cs="仿宋_GB2312"/>
          <w:color w:val="000000" w:themeColor="text1"/>
          <w14:textFill>
            <w14:solidFill>
              <w14:schemeClr w14:val="tx1"/>
            </w14:solidFill>
          </w14:textFill>
        </w:rPr>
      </w:pPr>
    </w:p>
    <w:p>
      <w:pPr>
        <w:pStyle w:val="4"/>
        <w:ind w:left="0" w:right="-73" w:rightChars="-33" w:firstLine="921" w:firstLineChars="329"/>
        <w:jc w:val="both"/>
        <w:rPr>
          <w:rFonts w:ascii="仿宋_GB2312" w:hAnsi="仿宋_GB2312" w:eastAsia="仿宋_GB2312" w:cs="仿宋_GB2312"/>
          <w:color w:val="000000" w:themeColor="text1"/>
          <w14:textFill>
            <w14:solidFill>
              <w14:schemeClr w14:val="tx1"/>
            </w14:solidFill>
          </w14:textFill>
        </w:rPr>
      </w:pPr>
      <w:bookmarkStart w:id="24" w:name="_GoBack"/>
      <w:bookmarkEnd w:id="24"/>
    </w:p>
    <w:p>
      <w:pPr>
        <w:pStyle w:val="4"/>
        <w:ind w:left="0" w:right="-73" w:rightChars="-33" w:firstLine="921" w:firstLineChars="329"/>
        <w:jc w:val="both"/>
        <w:rPr>
          <w:rFonts w:ascii="仿宋_GB2312" w:hAnsi="仿宋_GB2312" w:eastAsia="仿宋_GB2312" w:cs="仿宋_GB2312"/>
          <w:color w:val="000000" w:themeColor="text1"/>
          <w14:textFill>
            <w14:solidFill>
              <w14:schemeClr w14:val="tx1"/>
            </w14:solidFill>
          </w14:textFill>
        </w:rPr>
      </w:pPr>
    </w:p>
    <w:p>
      <w:pPr>
        <w:pStyle w:val="4"/>
        <w:ind w:left="0" w:right="-73" w:rightChars="-33" w:firstLine="921" w:firstLineChars="329"/>
        <w:jc w:val="both"/>
        <w:rPr>
          <w:rFonts w:ascii="仿宋_GB2312" w:hAnsi="仿宋_GB2312" w:eastAsia="仿宋_GB2312" w:cs="仿宋_GB2312"/>
          <w:color w:val="000000" w:themeColor="text1"/>
          <w14:textFill>
            <w14:solidFill>
              <w14:schemeClr w14:val="tx1"/>
            </w14:solidFill>
          </w14:textFill>
        </w:rPr>
      </w:pPr>
    </w:p>
    <w:p>
      <w:pPr>
        <w:ind w:right="-73" w:rightChars="-33" w:firstLine="921" w:firstLineChars="329"/>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甲方（签章）</w:t>
      </w:r>
      <w:r>
        <w:rPr>
          <w:rFonts w:hint="eastAsia" w:ascii="仿宋_GB2312" w:hAnsi="仿宋_GB2312" w:eastAsia="仿宋_GB2312" w:cs="仿宋_GB2312"/>
          <w:color w:val="000000" w:themeColor="text1"/>
          <w:sz w:val="28"/>
          <w:szCs w:val="28"/>
          <w:lang w:val="en-US"/>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乙方（签章）</w:t>
      </w:r>
      <w:r>
        <w:rPr>
          <w:rFonts w:hint="eastAsia" w:ascii="仿宋_GB2312" w:hAnsi="仿宋_GB2312" w:eastAsia="仿宋_GB2312" w:cs="仿宋_GB2312"/>
          <w:color w:val="000000" w:themeColor="text1"/>
          <w:sz w:val="28"/>
          <w:szCs w:val="28"/>
          <w:lang w:val="en-US"/>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t>丙方（签章）</w:t>
      </w:r>
    </w:p>
    <w:p>
      <w:pPr>
        <w:pStyle w:val="4"/>
        <w:tabs>
          <w:tab w:val="left" w:pos="4455"/>
        </w:tabs>
        <w:ind w:left="0" w:right="-73" w:rightChars="-33" w:firstLine="921" w:firstLineChars="329"/>
        <w:jc w:val="both"/>
        <w:rPr>
          <w:rFonts w:ascii="仿宋_GB2312" w:hAnsi="仿宋_GB2312" w:eastAsia="仿宋_GB2312" w:cs="仿宋_GB2312"/>
          <w:color w:val="000000" w:themeColor="text1"/>
          <w14:textFill>
            <w14:solidFill>
              <w14:schemeClr w14:val="tx1"/>
            </w14:solidFill>
          </w14:textFill>
        </w:rPr>
      </w:pPr>
    </w:p>
    <w:p>
      <w:pPr>
        <w:pStyle w:val="4"/>
        <w:tabs>
          <w:tab w:val="left" w:pos="4455"/>
        </w:tabs>
        <w:ind w:left="0" w:right="-73" w:rightChars="-33" w:firstLine="921" w:firstLineChars="329"/>
        <w:jc w:val="both"/>
        <w:rPr>
          <w:rFonts w:ascii="仿宋_GB2312" w:hAnsi="仿宋_GB2312" w:eastAsia="仿宋_GB2312" w:cs="仿宋_GB2312"/>
          <w:color w:val="000000" w:themeColor="text1"/>
          <w14:textFill>
            <w14:solidFill>
              <w14:schemeClr w14:val="tx1"/>
            </w14:solidFill>
          </w14:textFill>
        </w:rPr>
      </w:pPr>
    </w:p>
    <w:p>
      <w:pPr>
        <w:pStyle w:val="4"/>
        <w:tabs>
          <w:tab w:val="left" w:pos="1796"/>
          <w:tab w:val="left" w:pos="2355"/>
          <w:tab w:val="left" w:pos="2915"/>
          <w:tab w:val="left" w:pos="4455"/>
          <w:tab w:val="left" w:pos="6416"/>
          <w:tab w:val="left" w:pos="6975"/>
        </w:tabs>
        <w:ind w:left="0" w:right="-73" w:rightChars="-33" w:firstLine="3155" w:firstLineChars="1127"/>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日期：</w:t>
      </w:r>
      <w:r>
        <w:rPr>
          <w:rFonts w:hint="eastAsia" w:ascii="仿宋_GB2312" w:hAnsi="仿宋_GB2312" w:eastAsia="仿宋_GB2312" w:cs="仿宋_GB2312"/>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年</w:t>
      </w:r>
      <w:r>
        <w:rPr>
          <w:rFonts w:hint="eastAsia" w:ascii="仿宋_GB2312" w:hAnsi="仿宋_GB2312" w:eastAsia="仿宋_GB2312" w:cs="仿宋_GB2312"/>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月</w:t>
      </w:r>
      <w:r>
        <w:rPr>
          <w:rFonts w:hint="eastAsia" w:ascii="仿宋_GB2312" w:hAnsi="仿宋_GB2312" w:eastAsia="仿宋_GB2312" w:cs="仿宋_GB2312"/>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日</w:t>
      </w:r>
    </w:p>
    <w:p>
      <w:pPr>
        <w:pStyle w:val="4"/>
        <w:tabs>
          <w:tab w:val="left" w:pos="1796"/>
          <w:tab w:val="left" w:pos="2355"/>
          <w:tab w:val="left" w:pos="2915"/>
          <w:tab w:val="left" w:pos="4455"/>
          <w:tab w:val="left" w:pos="6416"/>
          <w:tab w:val="left" w:pos="6975"/>
        </w:tabs>
        <w:ind w:left="0" w:right="-73" w:rightChars="-33" w:firstLine="921" w:firstLineChars="329"/>
        <w:jc w:val="both"/>
        <w:rPr>
          <w:rFonts w:ascii="仿宋_GB2312" w:hAnsi="仿宋_GB2312" w:eastAsia="仿宋_GB2312" w:cs="仿宋_GB2312"/>
          <w:color w:val="000000" w:themeColor="text1"/>
          <w14:textFill>
            <w14:solidFill>
              <w14:schemeClr w14:val="tx1"/>
            </w14:solidFill>
          </w14:textFill>
        </w:rPr>
      </w:pPr>
    </w:p>
    <w:p>
      <w:pPr>
        <w:widowControl/>
        <w:rPr>
          <w:rFonts w:ascii="STSongStd-Light" w:hAnsi="STSongStd-Light" w:eastAsia="STSongStd-Light" w:cs="STSongStd-Light"/>
          <w:b/>
          <w:bCs/>
          <w:color w:val="000000" w:themeColor="text1"/>
          <w:sz w:val="36"/>
          <w:szCs w:val="36"/>
          <w:lang w:val="en-US" w:bidi="ar"/>
          <w14:textFill>
            <w14:solidFill>
              <w14:schemeClr w14:val="tx1"/>
            </w14:solidFill>
          </w14:textFill>
        </w:rPr>
      </w:pPr>
    </w:p>
    <w:p>
      <w:pPr>
        <w:widowControl/>
        <w:rPr>
          <w:rFonts w:ascii="STSongStd-Light" w:hAnsi="STSongStd-Light" w:eastAsia="STSongStd-Light" w:cs="STSongStd-Light"/>
          <w:b/>
          <w:bCs/>
          <w:color w:val="000000" w:themeColor="text1"/>
          <w:sz w:val="36"/>
          <w:szCs w:val="36"/>
          <w:lang w:val="en-US" w:bidi="ar"/>
          <w14:textFill>
            <w14:solidFill>
              <w14:schemeClr w14:val="tx1"/>
            </w14:solidFill>
          </w14:textFill>
        </w:rPr>
        <w:sectPr>
          <w:pgSz w:w="11910" w:h="16840"/>
          <w:pgMar w:top="1582" w:right="1060" w:bottom="1378" w:left="1463" w:header="720" w:footer="720" w:gutter="0"/>
          <w:cols w:space="0" w:num="1"/>
        </w:sectPr>
      </w:pPr>
    </w:p>
    <w:p>
      <w:pPr>
        <w:widowControl/>
        <w:rPr>
          <w:color w:val="000000" w:themeColor="text1"/>
          <w14:textFill>
            <w14:solidFill>
              <w14:schemeClr w14:val="tx1"/>
            </w14:solidFill>
          </w14:textFill>
        </w:rPr>
      </w:pPr>
      <w:r>
        <w:rPr>
          <w:rFonts w:ascii="STSongStd-Light" w:hAnsi="STSongStd-Light" w:eastAsia="STSongStd-Light" w:cs="STSongStd-Light"/>
          <w:b/>
          <w:bCs/>
          <w:color w:val="000000" w:themeColor="text1"/>
          <w:sz w:val="36"/>
          <w:szCs w:val="36"/>
          <w:lang w:val="en-US" w:bidi="ar"/>
          <w14:textFill>
            <w14:solidFill>
              <w14:schemeClr w14:val="tx1"/>
            </w14:solidFill>
          </w14:textFill>
        </w:rPr>
        <w:t>附件</w:t>
      </w:r>
    </w:p>
    <w:p>
      <w:pPr>
        <w:widowControl/>
        <w:jc w:val="center"/>
        <w:rPr>
          <w:rFonts w:ascii="方正小标宋简体" w:hAnsi="方正小标宋简体" w:eastAsia="方正小标宋简体" w:cs="方正小标宋简体"/>
          <w:color w:val="000000" w:themeColor="text1"/>
          <w:sz w:val="36"/>
          <w:szCs w:val="36"/>
          <w:lang w:val="en-US" w:bidi="ar"/>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lang w:val="en-US" w:bidi="ar"/>
          <w14:textFill>
            <w14:solidFill>
              <w14:schemeClr w14:val="tx1"/>
            </w14:solidFill>
          </w14:textFill>
        </w:rPr>
        <w:t>中选药品采购明细表</w:t>
      </w:r>
    </w:p>
    <w:p>
      <w:pPr>
        <w:widowControl/>
        <w:jc w:val="center"/>
        <w:rPr>
          <w:rFonts w:ascii="方正小标宋简体" w:hAnsi="方正小标宋简体" w:eastAsia="方正小标宋简体" w:cs="方正小标宋简体"/>
          <w:color w:val="000000" w:themeColor="text1"/>
          <w:sz w:val="36"/>
          <w:szCs w:val="36"/>
          <w:lang w:val="en-US" w:bidi="ar"/>
          <w14:textFill>
            <w14:solidFill>
              <w14:schemeClr w14:val="tx1"/>
            </w14:solidFill>
          </w14:textFill>
        </w:rPr>
      </w:pPr>
    </w:p>
    <w:tbl>
      <w:tblPr>
        <w:tblStyle w:val="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4"/>
        <w:gridCol w:w="807"/>
        <w:gridCol w:w="808"/>
        <w:gridCol w:w="1395"/>
        <w:gridCol w:w="808"/>
        <w:gridCol w:w="1395"/>
        <w:gridCol w:w="1395"/>
        <w:gridCol w:w="1395"/>
        <w:gridCol w:w="1395"/>
        <w:gridCol w:w="1978"/>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pct"/>
            <w:vAlign w:val="center"/>
          </w:tcPr>
          <w:p>
            <w:pPr>
              <w:widowControl/>
              <w:jc w:val="center"/>
              <w:rPr>
                <w:rFonts w:hint="eastAsia" w:ascii="仿宋_GB2312" w:hAnsi="仿宋_GB2312" w:eastAsia="仿宋_GB2312" w:cs="仿宋_GB2312"/>
                <w:b w:val="0"/>
                <w:bCs w:val="0"/>
                <w:color w:val="000000" w:themeColor="text1"/>
                <w:sz w:val="28"/>
                <w:szCs w:val="28"/>
                <w:lang w:val="en-US" w:bidi="ar"/>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bidi="ar"/>
                <w14:textFill>
                  <w14:solidFill>
                    <w14:schemeClr w14:val="tx1"/>
                  </w14:solidFill>
                </w14:textFill>
              </w:rPr>
              <w:t>产品名称</w:t>
            </w:r>
          </w:p>
        </w:tc>
        <w:tc>
          <w:tcPr>
            <w:tcW w:w="291" w:type="pct"/>
            <w:vAlign w:val="center"/>
          </w:tcPr>
          <w:p>
            <w:pPr>
              <w:widowControl/>
              <w:jc w:val="center"/>
              <w:rPr>
                <w:rFonts w:hint="eastAsia" w:ascii="仿宋_GB2312" w:hAnsi="仿宋_GB2312" w:eastAsia="仿宋_GB2312" w:cs="仿宋_GB2312"/>
                <w:b w:val="0"/>
                <w:bCs w:val="0"/>
                <w:color w:val="000000" w:themeColor="text1"/>
                <w:sz w:val="28"/>
                <w:szCs w:val="28"/>
                <w:lang w:val="en-US" w:bidi="ar"/>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bidi="ar"/>
                <w14:textFill>
                  <w14:solidFill>
                    <w14:schemeClr w14:val="tx1"/>
                  </w14:solidFill>
                </w14:textFill>
              </w:rPr>
              <w:t>剂型</w:t>
            </w:r>
          </w:p>
        </w:tc>
        <w:tc>
          <w:tcPr>
            <w:tcW w:w="291" w:type="pct"/>
            <w:vAlign w:val="center"/>
          </w:tcPr>
          <w:p>
            <w:pPr>
              <w:widowControl/>
              <w:jc w:val="center"/>
              <w:rPr>
                <w:rFonts w:hint="eastAsia" w:ascii="仿宋_GB2312" w:hAnsi="仿宋_GB2312" w:eastAsia="仿宋_GB2312" w:cs="仿宋_GB2312"/>
                <w:b w:val="0"/>
                <w:bCs w:val="0"/>
                <w:color w:val="000000" w:themeColor="text1"/>
                <w:sz w:val="28"/>
                <w:szCs w:val="28"/>
                <w:lang w:val="en-US" w:bidi="ar"/>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bidi="ar"/>
                <w14:textFill>
                  <w14:solidFill>
                    <w14:schemeClr w14:val="tx1"/>
                  </w14:solidFill>
                </w14:textFill>
              </w:rPr>
              <w:t>规格</w:t>
            </w:r>
          </w:p>
        </w:tc>
        <w:tc>
          <w:tcPr>
            <w:tcW w:w="502" w:type="pct"/>
            <w:vAlign w:val="center"/>
          </w:tcPr>
          <w:p>
            <w:pPr>
              <w:widowControl/>
              <w:jc w:val="center"/>
              <w:rPr>
                <w:rFonts w:hint="eastAsia" w:ascii="仿宋_GB2312" w:hAnsi="仿宋_GB2312" w:eastAsia="仿宋_GB2312" w:cs="仿宋_GB2312"/>
                <w:b w:val="0"/>
                <w:bCs w:val="0"/>
                <w:color w:val="000000" w:themeColor="text1"/>
                <w:sz w:val="28"/>
                <w:szCs w:val="28"/>
                <w:lang w:val="en-US" w:bidi="ar"/>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bidi="ar"/>
                <w14:textFill>
                  <w14:solidFill>
                    <w14:schemeClr w14:val="tx1"/>
                  </w14:solidFill>
                </w14:textFill>
              </w:rPr>
              <w:t>转换系数</w:t>
            </w:r>
          </w:p>
        </w:tc>
        <w:tc>
          <w:tcPr>
            <w:tcW w:w="291" w:type="pct"/>
            <w:vAlign w:val="center"/>
          </w:tcPr>
          <w:p>
            <w:pPr>
              <w:widowControl/>
              <w:jc w:val="center"/>
              <w:rPr>
                <w:rFonts w:hint="eastAsia" w:ascii="仿宋_GB2312" w:hAnsi="仿宋_GB2312" w:eastAsia="仿宋_GB2312" w:cs="仿宋_GB2312"/>
                <w:b w:val="0"/>
                <w:bCs w:val="0"/>
                <w:color w:val="000000" w:themeColor="text1"/>
                <w:sz w:val="28"/>
                <w:szCs w:val="28"/>
                <w:lang w:val="en-US" w:bidi="ar"/>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bidi="ar"/>
                <w14:textFill>
                  <w14:solidFill>
                    <w14:schemeClr w14:val="tx1"/>
                  </w14:solidFill>
                </w14:textFill>
              </w:rPr>
              <w:t>包装</w:t>
            </w:r>
          </w:p>
        </w:tc>
        <w:tc>
          <w:tcPr>
            <w:tcW w:w="502" w:type="pct"/>
            <w:vAlign w:val="center"/>
          </w:tcPr>
          <w:p>
            <w:pPr>
              <w:widowControl/>
              <w:jc w:val="center"/>
              <w:rPr>
                <w:rFonts w:hint="eastAsia" w:ascii="仿宋_GB2312" w:hAnsi="仿宋_GB2312" w:eastAsia="仿宋_GB2312" w:cs="仿宋_GB2312"/>
                <w:b w:val="0"/>
                <w:bCs w:val="0"/>
                <w:color w:val="000000" w:themeColor="text1"/>
                <w:sz w:val="28"/>
                <w:szCs w:val="28"/>
                <w:lang w:val="en-US" w:bidi="ar"/>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bidi="ar"/>
                <w14:textFill>
                  <w14:solidFill>
                    <w14:schemeClr w14:val="tx1"/>
                  </w14:solidFill>
                </w14:textFill>
              </w:rPr>
              <w:t>包装材质</w:t>
            </w:r>
          </w:p>
        </w:tc>
        <w:tc>
          <w:tcPr>
            <w:tcW w:w="502" w:type="pct"/>
            <w:vAlign w:val="center"/>
          </w:tcPr>
          <w:p>
            <w:pPr>
              <w:widowControl/>
              <w:jc w:val="center"/>
              <w:rPr>
                <w:rFonts w:hint="eastAsia" w:ascii="仿宋_GB2312" w:hAnsi="仿宋_GB2312" w:eastAsia="仿宋_GB2312" w:cs="仿宋_GB2312"/>
                <w:b w:val="0"/>
                <w:bCs w:val="0"/>
                <w:color w:val="000000" w:themeColor="text1"/>
                <w:sz w:val="28"/>
                <w:szCs w:val="28"/>
                <w:lang w:val="en-US" w:bidi="ar"/>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bidi="ar"/>
                <w14:textFill>
                  <w14:solidFill>
                    <w14:schemeClr w14:val="tx1"/>
                  </w14:solidFill>
                </w14:textFill>
              </w:rPr>
              <w:t>生产企业</w:t>
            </w:r>
          </w:p>
        </w:tc>
        <w:tc>
          <w:tcPr>
            <w:tcW w:w="502" w:type="pct"/>
            <w:vAlign w:val="center"/>
          </w:tcPr>
          <w:p>
            <w:pPr>
              <w:widowControl/>
              <w:jc w:val="center"/>
              <w:rPr>
                <w:rFonts w:hint="eastAsia" w:ascii="仿宋_GB2312" w:hAnsi="仿宋_GB2312" w:eastAsia="仿宋_GB2312" w:cs="仿宋_GB2312"/>
                <w:b w:val="0"/>
                <w:bCs w:val="0"/>
                <w:color w:val="000000" w:themeColor="text1"/>
                <w:sz w:val="28"/>
                <w:szCs w:val="28"/>
                <w:lang w:val="en-US" w:bidi="ar"/>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bidi="ar"/>
                <w14:textFill>
                  <w14:solidFill>
                    <w14:schemeClr w14:val="tx1"/>
                  </w14:solidFill>
                </w14:textFill>
              </w:rPr>
              <w:t>投标企业</w:t>
            </w:r>
          </w:p>
        </w:tc>
        <w:tc>
          <w:tcPr>
            <w:tcW w:w="502" w:type="pct"/>
            <w:vAlign w:val="center"/>
          </w:tcPr>
          <w:p>
            <w:pPr>
              <w:widowControl/>
              <w:jc w:val="center"/>
              <w:rPr>
                <w:rFonts w:hint="eastAsia" w:ascii="仿宋_GB2312" w:hAnsi="仿宋_GB2312" w:eastAsia="仿宋_GB2312" w:cs="仿宋_GB2312"/>
                <w:b w:val="0"/>
                <w:bCs w:val="0"/>
                <w:color w:val="000000" w:themeColor="text1"/>
                <w:sz w:val="28"/>
                <w:szCs w:val="28"/>
                <w:lang w:val="en-US" w:bidi="ar"/>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bidi="ar"/>
                <w14:textFill>
                  <w14:solidFill>
                    <w14:schemeClr w14:val="tx1"/>
                  </w14:solidFill>
                </w14:textFill>
              </w:rPr>
              <w:t>中选价格</w:t>
            </w:r>
          </w:p>
          <w:p>
            <w:pPr>
              <w:widowControl/>
              <w:jc w:val="center"/>
              <w:rPr>
                <w:rFonts w:hint="eastAsia" w:ascii="仿宋_GB2312" w:hAnsi="仿宋_GB2312" w:eastAsia="仿宋_GB2312" w:cs="仿宋_GB2312"/>
                <w:b w:val="0"/>
                <w:bCs w:val="0"/>
                <w:color w:val="000000" w:themeColor="text1"/>
                <w:sz w:val="28"/>
                <w:szCs w:val="28"/>
                <w:lang w:val="en-US" w:bidi="ar"/>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bidi="ar"/>
                <w14:textFill>
                  <w14:solidFill>
                    <w14:schemeClr w14:val="tx1"/>
                  </w14:solidFill>
                </w14:textFill>
              </w:rPr>
              <w:t>（元）</w:t>
            </w:r>
          </w:p>
        </w:tc>
        <w:tc>
          <w:tcPr>
            <w:tcW w:w="712" w:type="pct"/>
            <w:vAlign w:val="center"/>
          </w:tcPr>
          <w:p>
            <w:pPr>
              <w:widowControl/>
              <w:jc w:val="center"/>
              <w:rPr>
                <w:rFonts w:hint="eastAsia" w:ascii="仿宋_GB2312" w:hAnsi="仿宋_GB2312" w:eastAsia="仿宋_GB2312" w:cs="仿宋_GB2312"/>
                <w:b w:val="0"/>
                <w:bCs w:val="0"/>
                <w:color w:val="000000" w:themeColor="text1"/>
                <w:sz w:val="28"/>
                <w:szCs w:val="28"/>
                <w:lang w:val="en-US" w:bidi="ar"/>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bidi="ar"/>
                <w14:textFill>
                  <w14:solidFill>
                    <w14:schemeClr w14:val="tx1"/>
                  </w14:solidFill>
                </w14:textFill>
              </w:rPr>
              <w:t>约定采购量</w:t>
            </w:r>
          </w:p>
          <w:p>
            <w:pPr>
              <w:widowControl/>
              <w:jc w:val="center"/>
              <w:rPr>
                <w:rFonts w:hint="eastAsia" w:ascii="仿宋_GB2312" w:hAnsi="仿宋_GB2312" w:eastAsia="仿宋_GB2312" w:cs="仿宋_GB2312"/>
                <w:b w:val="0"/>
                <w:bCs w:val="0"/>
                <w:color w:val="000000" w:themeColor="text1"/>
                <w:sz w:val="28"/>
                <w:szCs w:val="28"/>
                <w:lang w:val="en-US" w:bidi="ar"/>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bidi="ar"/>
                <w14:textFill>
                  <w14:solidFill>
                    <w14:schemeClr w14:val="tx1"/>
                  </w14:solidFill>
                </w14:textFill>
              </w:rPr>
              <w:t>（</w:t>
            </w:r>
            <w:r>
              <w:rPr>
                <w:rFonts w:hint="eastAsia" w:ascii="仿宋_GB2312" w:hAnsi="仿宋_GB2312" w:eastAsia="仿宋_GB2312" w:cs="仿宋_GB2312"/>
                <w:b w:val="0"/>
                <w:bCs w:val="0"/>
                <w:color w:val="000000" w:themeColor="text1"/>
                <w:sz w:val="28"/>
                <w:szCs w:val="28"/>
                <w14:textFill>
                  <w14:solidFill>
                    <w14:schemeClr w14:val="tx1"/>
                  </w14:solidFill>
                </w14:textFill>
              </w:rPr>
              <w:t>粒/片/支</w:t>
            </w:r>
            <w:r>
              <w:rPr>
                <w:rFonts w:hint="eastAsia" w:ascii="仿宋_GB2312" w:hAnsi="仿宋_GB2312" w:eastAsia="仿宋_GB2312" w:cs="仿宋_GB2312"/>
                <w:b w:val="0"/>
                <w:bCs w:val="0"/>
                <w:color w:val="000000" w:themeColor="text1"/>
                <w:sz w:val="28"/>
                <w:szCs w:val="28"/>
                <w:lang w:val="en-US" w:bidi="ar"/>
                <w14:textFill>
                  <w14:solidFill>
                    <w14:schemeClr w14:val="tx1"/>
                  </w14:solidFill>
                </w14:textFill>
              </w:rPr>
              <w:t>）</w:t>
            </w:r>
          </w:p>
        </w:tc>
        <w:tc>
          <w:tcPr>
            <w:tcW w:w="397" w:type="pct"/>
            <w:vAlign w:val="center"/>
          </w:tcPr>
          <w:p>
            <w:pPr>
              <w:widowControl/>
              <w:jc w:val="center"/>
              <w:rPr>
                <w:rFonts w:hint="eastAsia" w:ascii="仿宋_GB2312" w:hAnsi="仿宋_GB2312" w:eastAsia="仿宋_GB2312" w:cs="仿宋_GB2312"/>
                <w:b w:val="0"/>
                <w:bCs w:val="0"/>
                <w:color w:val="000000" w:themeColor="text1"/>
                <w:sz w:val="28"/>
                <w:szCs w:val="28"/>
                <w:lang w:val="en-US" w:bidi="ar"/>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bidi="ar"/>
                <w14:textFill>
                  <w14:solidFill>
                    <w14:schemeClr w14:val="tx1"/>
                  </w14:solidFill>
                </w14:textFill>
              </w:rPr>
              <w:t>金额</w:t>
            </w:r>
          </w:p>
          <w:p>
            <w:pPr>
              <w:widowControl/>
              <w:jc w:val="center"/>
              <w:rPr>
                <w:rFonts w:hint="eastAsia" w:ascii="仿宋_GB2312" w:hAnsi="仿宋_GB2312" w:eastAsia="仿宋_GB2312" w:cs="仿宋_GB2312"/>
                <w:b w:val="0"/>
                <w:bCs w:val="0"/>
                <w:color w:val="000000" w:themeColor="text1"/>
                <w:sz w:val="28"/>
                <w:szCs w:val="28"/>
                <w:lang w:val="en-US" w:bidi="ar"/>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bidi="ar"/>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02" w:type="pct"/>
            <w:vAlign w:val="center"/>
          </w:tcPr>
          <w:p>
            <w:pPr>
              <w:widowControl/>
              <w:jc w:val="center"/>
              <w:rPr>
                <w:rFonts w:hint="eastAsia" w:ascii="仿宋_GB2312" w:hAnsi="仿宋_GB2312" w:eastAsia="仿宋_GB2312" w:cs="仿宋_GB2312"/>
                <w:b w:val="0"/>
                <w:bCs w:val="0"/>
                <w:color w:val="000000" w:themeColor="text1"/>
                <w:sz w:val="28"/>
                <w:szCs w:val="28"/>
                <w:lang w:val="en-US" w:bidi="ar"/>
                <w14:textFill>
                  <w14:solidFill>
                    <w14:schemeClr w14:val="tx1"/>
                  </w14:solidFill>
                </w14:textFill>
              </w:rPr>
            </w:pPr>
          </w:p>
        </w:tc>
        <w:tc>
          <w:tcPr>
            <w:tcW w:w="291" w:type="pct"/>
            <w:vAlign w:val="center"/>
          </w:tcPr>
          <w:p>
            <w:pPr>
              <w:widowControl/>
              <w:jc w:val="center"/>
              <w:rPr>
                <w:rFonts w:hint="eastAsia" w:ascii="仿宋_GB2312" w:hAnsi="仿宋_GB2312" w:eastAsia="仿宋_GB2312" w:cs="仿宋_GB2312"/>
                <w:b w:val="0"/>
                <w:bCs w:val="0"/>
                <w:color w:val="000000" w:themeColor="text1"/>
                <w:sz w:val="28"/>
                <w:szCs w:val="28"/>
                <w:lang w:val="en-US" w:bidi="ar"/>
                <w14:textFill>
                  <w14:solidFill>
                    <w14:schemeClr w14:val="tx1"/>
                  </w14:solidFill>
                </w14:textFill>
              </w:rPr>
            </w:pPr>
          </w:p>
        </w:tc>
        <w:tc>
          <w:tcPr>
            <w:tcW w:w="291" w:type="pct"/>
            <w:vAlign w:val="center"/>
          </w:tcPr>
          <w:p>
            <w:pPr>
              <w:widowControl/>
              <w:jc w:val="center"/>
              <w:rPr>
                <w:rFonts w:hint="eastAsia" w:ascii="仿宋_GB2312" w:hAnsi="仿宋_GB2312" w:eastAsia="仿宋_GB2312" w:cs="仿宋_GB2312"/>
                <w:b w:val="0"/>
                <w:bCs w:val="0"/>
                <w:color w:val="000000" w:themeColor="text1"/>
                <w:sz w:val="28"/>
                <w:szCs w:val="28"/>
                <w:lang w:val="en-US" w:bidi="ar"/>
                <w14:textFill>
                  <w14:solidFill>
                    <w14:schemeClr w14:val="tx1"/>
                  </w14:solidFill>
                </w14:textFill>
              </w:rPr>
            </w:pPr>
          </w:p>
        </w:tc>
        <w:tc>
          <w:tcPr>
            <w:tcW w:w="502" w:type="pct"/>
            <w:vAlign w:val="center"/>
          </w:tcPr>
          <w:p>
            <w:pPr>
              <w:widowControl/>
              <w:jc w:val="center"/>
              <w:rPr>
                <w:rFonts w:hint="eastAsia" w:ascii="仿宋_GB2312" w:hAnsi="仿宋_GB2312" w:eastAsia="仿宋_GB2312" w:cs="仿宋_GB2312"/>
                <w:b w:val="0"/>
                <w:bCs w:val="0"/>
                <w:color w:val="000000" w:themeColor="text1"/>
                <w:sz w:val="28"/>
                <w:szCs w:val="28"/>
                <w:lang w:val="en-US" w:bidi="ar"/>
                <w14:textFill>
                  <w14:solidFill>
                    <w14:schemeClr w14:val="tx1"/>
                  </w14:solidFill>
                </w14:textFill>
              </w:rPr>
            </w:pPr>
          </w:p>
        </w:tc>
        <w:tc>
          <w:tcPr>
            <w:tcW w:w="291" w:type="pct"/>
            <w:vAlign w:val="center"/>
          </w:tcPr>
          <w:p>
            <w:pPr>
              <w:widowControl/>
              <w:jc w:val="center"/>
              <w:rPr>
                <w:rFonts w:hint="eastAsia" w:ascii="仿宋_GB2312" w:hAnsi="仿宋_GB2312" w:eastAsia="仿宋_GB2312" w:cs="仿宋_GB2312"/>
                <w:b w:val="0"/>
                <w:bCs w:val="0"/>
                <w:color w:val="000000" w:themeColor="text1"/>
                <w:sz w:val="28"/>
                <w:szCs w:val="28"/>
                <w:lang w:val="en-US" w:bidi="ar"/>
                <w14:textFill>
                  <w14:solidFill>
                    <w14:schemeClr w14:val="tx1"/>
                  </w14:solidFill>
                </w14:textFill>
              </w:rPr>
            </w:pPr>
          </w:p>
        </w:tc>
        <w:tc>
          <w:tcPr>
            <w:tcW w:w="502" w:type="pct"/>
            <w:vAlign w:val="center"/>
          </w:tcPr>
          <w:p>
            <w:pPr>
              <w:widowControl/>
              <w:jc w:val="center"/>
              <w:rPr>
                <w:rFonts w:hint="eastAsia" w:ascii="仿宋_GB2312" w:hAnsi="仿宋_GB2312" w:eastAsia="仿宋_GB2312" w:cs="仿宋_GB2312"/>
                <w:b w:val="0"/>
                <w:bCs w:val="0"/>
                <w:color w:val="000000" w:themeColor="text1"/>
                <w:sz w:val="28"/>
                <w:szCs w:val="28"/>
                <w:lang w:val="en-US" w:bidi="ar"/>
                <w14:textFill>
                  <w14:solidFill>
                    <w14:schemeClr w14:val="tx1"/>
                  </w14:solidFill>
                </w14:textFill>
              </w:rPr>
            </w:pPr>
          </w:p>
        </w:tc>
        <w:tc>
          <w:tcPr>
            <w:tcW w:w="502" w:type="pct"/>
            <w:vAlign w:val="center"/>
          </w:tcPr>
          <w:p>
            <w:pPr>
              <w:widowControl/>
              <w:jc w:val="center"/>
              <w:rPr>
                <w:rFonts w:hint="eastAsia" w:ascii="仿宋_GB2312" w:hAnsi="仿宋_GB2312" w:eastAsia="仿宋_GB2312" w:cs="仿宋_GB2312"/>
                <w:b w:val="0"/>
                <w:bCs w:val="0"/>
                <w:color w:val="000000" w:themeColor="text1"/>
                <w:sz w:val="28"/>
                <w:szCs w:val="28"/>
                <w:lang w:val="en-US" w:bidi="ar"/>
                <w14:textFill>
                  <w14:solidFill>
                    <w14:schemeClr w14:val="tx1"/>
                  </w14:solidFill>
                </w14:textFill>
              </w:rPr>
            </w:pPr>
          </w:p>
        </w:tc>
        <w:tc>
          <w:tcPr>
            <w:tcW w:w="502" w:type="pct"/>
            <w:vAlign w:val="center"/>
          </w:tcPr>
          <w:p>
            <w:pPr>
              <w:widowControl/>
              <w:jc w:val="center"/>
              <w:rPr>
                <w:rFonts w:hint="eastAsia" w:ascii="仿宋_GB2312" w:hAnsi="仿宋_GB2312" w:eastAsia="仿宋_GB2312" w:cs="仿宋_GB2312"/>
                <w:b w:val="0"/>
                <w:bCs w:val="0"/>
                <w:color w:val="000000" w:themeColor="text1"/>
                <w:sz w:val="28"/>
                <w:szCs w:val="28"/>
                <w:lang w:val="en-US" w:bidi="ar"/>
                <w14:textFill>
                  <w14:solidFill>
                    <w14:schemeClr w14:val="tx1"/>
                  </w14:solidFill>
                </w14:textFill>
              </w:rPr>
            </w:pPr>
          </w:p>
        </w:tc>
        <w:tc>
          <w:tcPr>
            <w:tcW w:w="502" w:type="pct"/>
            <w:vAlign w:val="center"/>
          </w:tcPr>
          <w:p>
            <w:pPr>
              <w:widowControl/>
              <w:jc w:val="center"/>
              <w:rPr>
                <w:rFonts w:hint="eastAsia" w:ascii="仿宋_GB2312" w:hAnsi="仿宋_GB2312" w:eastAsia="仿宋_GB2312" w:cs="仿宋_GB2312"/>
                <w:b w:val="0"/>
                <w:bCs w:val="0"/>
                <w:color w:val="000000" w:themeColor="text1"/>
                <w:sz w:val="28"/>
                <w:szCs w:val="28"/>
                <w:lang w:val="en-US" w:bidi="ar"/>
                <w14:textFill>
                  <w14:solidFill>
                    <w14:schemeClr w14:val="tx1"/>
                  </w14:solidFill>
                </w14:textFill>
              </w:rPr>
            </w:pPr>
          </w:p>
        </w:tc>
        <w:tc>
          <w:tcPr>
            <w:tcW w:w="712" w:type="pct"/>
            <w:vAlign w:val="center"/>
          </w:tcPr>
          <w:p>
            <w:pPr>
              <w:widowControl/>
              <w:jc w:val="center"/>
              <w:rPr>
                <w:rFonts w:hint="eastAsia" w:ascii="仿宋_GB2312" w:hAnsi="仿宋_GB2312" w:eastAsia="仿宋_GB2312" w:cs="仿宋_GB2312"/>
                <w:b w:val="0"/>
                <w:bCs w:val="0"/>
                <w:color w:val="000000" w:themeColor="text1"/>
                <w:sz w:val="28"/>
                <w:szCs w:val="28"/>
                <w:lang w:val="en-US" w:bidi="ar"/>
                <w14:textFill>
                  <w14:solidFill>
                    <w14:schemeClr w14:val="tx1"/>
                  </w14:solidFill>
                </w14:textFill>
              </w:rPr>
            </w:pPr>
          </w:p>
        </w:tc>
        <w:tc>
          <w:tcPr>
            <w:tcW w:w="397" w:type="pct"/>
            <w:vAlign w:val="center"/>
          </w:tcPr>
          <w:p>
            <w:pPr>
              <w:widowControl/>
              <w:jc w:val="center"/>
              <w:rPr>
                <w:rFonts w:hint="eastAsia" w:ascii="仿宋_GB2312" w:hAnsi="仿宋_GB2312" w:eastAsia="仿宋_GB2312" w:cs="仿宋_GB2312"/>
                <w:b w:val="0"/>
                <w:bCs w:val="0"/>
                <w:color w:val="000000" w:themeColor="text1"/>
                <w:sz w:val="28"/>
                <w:szCs w:val="28"/>
                <w:lang w:val="en-US" w:bidi="ar"/>
                <w14:textFill>
                  <w14:solidFill>
                    <w14:schemeClr w14:val="tx1"/>
                  </w14:solidFill>
                </w14:textFill>
              </w:rPr>
            </w:pPr>
          </w:p>
        </w:tc>
      </w:tr>
    </w:tbl>
    <w:p>
      <w:pPr>
        <w:widowControl/>
        <w:rPr>
          <w:rFonts w:ascii="STSongStd-Light" w:hAnsi="STSongStd-Light" w:eastAsia="STSongStd-Light" w:cs="STSongStd-Light"/>
          <w:b/>
          <w:bCs/>
          <w:color w:val="000000" w:themeColor="text1"/>
          <w:sz w:val="33"/>
          <w:szCs w:val="33"/>
          <w:lang w:val="en-US" w:bidi="ar"/>
          <w14:textFill>
            <w14:solidFill>
              <w14:schemeClr w14:val="tx1"/>
            </w14:solidFill>
          </w14:textFill>
        </w:rPr>
      </w:pPr>
    </w:p>
    <w:p>
      <w:pPr>
        <w:rPr>
          <w:color w:val="000000" w:themeColor="text1"/>
          <w14:textFill>
            <w14:solidFill>
              <w14:schemeClr w14:val="tx1"/>
            </w14:solidFill>
          </w14:textFill>
        </w:rPr>
      </w:pPr>
    </w:p>
    <w:sectPr>
      <w:footerReference r:id="rId3" w:type="default"/>
      <w:pgSz w:w="16840" w:h="11910" w:orient="landscape"/>
      <w:pgMar w:top="1587" w:right="1701" w:bottom="1474" w:left="1474" w:header="0" w:footer="1196"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STSongStd-Light">
    <w:altName w:val="Segoe Print"/>
    <w:panose1 w:val="020B0604020202020204"/>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3712210</wp:posOffset>
              </wp:positionH>
              <wp:positionV relativeFrom="page">
                <wp:posOffset>9792970</wp:posOffset>
              </wp:positionV>
              <wp:extent cx="134620" cy="1397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34620"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1</w:t>
                          </w:r>
                          <w:r>
                            <w:fldChar w:fldCharType="end"/>
                          </w:r>
                        </w:p>
                      </w:txbxContent>
                    </wps:txbx>
                    <wps:bodyPr lIns="0" tIns="0" rIns="0" bIns="0" upright="1"/>
                  </wps:wsp>
                </a:graphicData>
              </a:graphic>
            </wp:anchor>
          </w:drawing>
        </mc:Choice>
        <mc:Fallback>
          <w:pict>
            <v:shape id="文本框 1025" o:spid="_x0000_s1026" o:spt="202" type="#_x0000_t202" style="position:absolute;left:0pt;margin-left:292.3pt;margin-top:771.1pt;height:11pt;width:10.6pt;mso-position-horizontal-relative:page;mso-position-vertical-relative:page;z-index:-251657216;mso-width-relative:page;mso-height-relative:page;" filled="f" stroked="f" coordsize="21600,21600" o:gfxdata="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0f7rLaAAAADQEAAA8AAAAAAAAAAQAgAAAAIgAAAGRycy9kb3ducmV2LnhtbFBL&#10;AQIUABQAAAAIAIdO4kAXcrBcuwEAAHQDAAAOAAAAAAAAAAEAIAAAACkBAABkcnMvZTJvRG9jLnht&#10;bFBLBQYAAAAABgAGAFkBAABWBQ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3926A3"/>
    <w:multiLevelType w:val="multilevel"/>
    <w:tmpl w:val="973926A3"/>
    <w:lvl w:ilvl="0" w:tentative="0">
      <w:start w:val="1"/>
      <w:numFmt w:val="decimal"/>
      <w:lvlText w:val="（%1）"/>
      <w:lvlJc w:val="left"/>
      <w:pPr>
        <w:ind w:left="116" w:firstLine="451"/>
      </w:pPr>
      <w:rPr>
        <w:rFonts w:hint="default" w:ascii="宋体" w:hAnsi="宋体" w:eastAsia="宋体" w:cs="宋体"/>
        <w:spacing w:val="-1"/>
        <w:w w:val="100"/>
        <w:sz w:val="26"/>
        <w:szCs w:val="26"/>
        <w:lang w:val="zh-CN" w:eastAsia="zh-CN" w:bidi="zh-CN"/>
      </w:rPr>
    </w:lvl>
    <w:lvl w:ilvl="1" w:tentative="0">
      <w:start w:val="0"/>
      <w:numFmt w:val="bullet"/>
      <w:lvlText w:val="•"/>
      <w:lvlJc w:val="left"/>
      <w:pPr>
        <w:ind w:left="1046" w:hanging="707"/>
      </w:pPr>
      <w:rPr>
        <w:rFonts w:hint="default"/>
        <w:lang w:val="zh-CN" w:eastAsia="zh-CN" w:bidi="zh-CN"/>
      </w:rPr>
    </w:lvl>
    <w:lvl w:ilvl="2" w:tentative="0">
      <w:start w:val="0"/>
      <w:numFmt w:val="bullet"/>
      <w:lvlText w:val="•"/>
      <w:lvlJc w:val="left"/>
      <w:pPr>
        <w:ind w:left="1973" w:hanging="707"/>
      </w:pPr>
      <w:rPr>
        <w:rFonts w:hint="default"/>
        <w:lang w:val="zh-CN" w:eastAsia="zh-CN" w:bidi="zh-CN"/>
      </w:rPr>
    </w:lvl>
    <w:lvl w:ilvl="3" w:tentative="0">
      <w:start w:val="0"/>
      <w:numFmt w:val="bullet"/>
      <w:lvlText w:val="•"/>
      <w:lvlJc w:val="left"/>
      <w:pPr>
        <w:ind w:left="2899" w:hanging="707"/>
      </w:pPr>
      <w:rPr>
        <w:rFonts w:hint="default"/>
        <w:lang w:val="zh-CN" w:eastAsia="zh-CN" w:bidi="zh-CN"/>
      </w:rPr>
    </w:lvl>
    <w:lvl w:ilvl="4" w:tentative="0">
      <w:start w:val="0"/>
      <w:numFmt w:val="bullet"/>
      <w:lvlText w:val="•"/>
      <w:lvlJc w:val="left"/>
      <w:pPr>
        <w:ind w:left="3826" w:hanging="707"/>
      </w:pPr>
      <w:rPr>
        <w:rFonts w:hint="default"/>
        <w:lang w:val="zh-CN" w:eastAsia="zh-CN" w:bidi="zh-CN"/>
      </w:rPr>
    </w:lvl>
    <w:lvl w:ilvl="5" w:tentative="0">
      <w:start w:val="0"/>
      <w:numFmt w:val="bullet"/>
      <w:lvlText w:val="•"/>
      <w:lvlJc w:val="left"/>
      <w:pPr>
        <w:ind w:left="4753" w:hanging="707"/>
      </w:pPr>
      <w:rPr>
        <w:rFonts w:hint="default"/>
        <w:lang w:val="zh-CN" w:eastAsia="zh-CN" w:bidi="zh-CN"/>
      </w:rPr>
    </w:lvl>
    <w:lvl w:ilvl="6" w:tentative="0">
      <w:start w:val="0"/>
      <w:numFmt w:val="bullet"/>
      <w:lvlText w:val="•"/>
      <w:lvlJc w:val="left"/>
      <w:pPr>
        <w:ind w:left="5679" w:hanging="707"/>
      </w:pPr>
      <w:rPr>
        <w:rFonts w:hint="default"/>
        <w:lang w:val="zh-CN" w:eastAsia="zh-CN" w:bidi="zh-CN"/>
      </w:rPr>
    </w:lvl>
    <w:lvl w:ilvl="7" w:tentative="0">
      <w:start w:val="0"/>
      <w:numFmt w:val="bullet"/>
      <w:lvlText w:val="•"/>
      <w:lvlJc w:val="left"/>
      <w:pPr>
        <w:ind w:left="6606" w:hanging="707"/>
      </w:pPr>
      <w:rPr>
        <w:rFonts w:hint="default"/>
        <w:lang w:val="zh-CN" w:eastAsia="zh-CN" w:bidi="zh-CN"/>
      </w:rPr>
    </w:lvl>
    <w:lvl w:ilvl="8" w:tentative="0">
      <w:start w:val="0"/>
      <w:numFmt w:val="bullet"/>
      <w:lvlText w:val="•"/>
      <w:lvlJc w:val="left"/>
      <w:pPr>
        <w:ind w:left="7532" w:hanging="707"/>
      </w:pPr>
      <w:rPr>
        <w:rFonts w:hint="default"/>
        <w:lang w:val="zh-CN" w:eastAsia="zh-CN" w:bidi="zh-CN"/>
      </w:rPr>
    </w:lvl>
  </w:abstractNum>
  <w:abstractNum w:abstractNumId="1">
    <w:nsid w:val="97AE4043"/>
    <w:multiLevelType w:val="multilevel"/>
    <w:tmpl w:val="97AE4043"/>
    <w:lvl w:ilvl="0" w:tentative="0">
      <w:start w:val="1"/>
      <w:numFmt w:val="decimal"/>
      <w:lvlText w:val="（%1）"/>
      <w:lvlJc w:val="left"/>
      <w:pPr>
        <w:tabs>
          <w:tab w:val="left" w:pos="567"/>
        </w:tabs>
        <w:ind w:left="962" w:hanging="395"/>
      </w:pPr>
      <w:rPr>
        <w:rFonts w:hint="default" w:ascii="宋体" w:hAnsi="宋体" w:eastAsia="宋体" w:cs="宋体"/>
        <w:spacing w:val="-2"/>
        <w:w w:val="100"/>
        <w:sz w:val="26"/>
        <w:szCs w:val="26"/>
        <w:lang w:val="zh-CN" w:eastAsia="zh-CN" w:bidi="zh-CN"/>
      </w:rPr>
    </w:lvl>
    <w:lvl w:ilvl="1" w:tentative="0">
      <w:start w:val="0"/>
      <w:numFmt w:val="bullet"/>
      <w:lvlText w:val="•"/>
      <w:lvlJc w:val="left"/>
      <w:pPr>
        <w:tabs>
          <w:tab w:val="left" w:pos="-420"/>
        </w:tabs>
        <w:ind w:left="1760" w:hanging="702"/>
      </w:pPr>
      <w:rPr>
        <w:rFonts w:hint="default"/>
        <w:lang w:val="zh-CN" w:eastAsia="zh-CN" w:bidi="zh-CN"/>
      </w:rPr>
    </w:lvl>
    <w:lvl w:ilvl="2" w:tentative="0">
      <w:start w:val="0"/>
      <w:numFmt w:val="bullet"/>
      <w:lvlText w:val="•"/>
      <w:lvlJc w:val="left"/>
      <w:pPr>
        <w:tabs>
          <w:tab w:val="left" w:pos="-420"/>
        </w:tabs>
        <w:ind w:left="2561" w:hanging="702"/>
      </w:pPr>
      <w:rPr>
        <w:rFonts w:hint="default"/>
        <w:lang w:val="zh-CN" w:eastAsia="zh-CN" w:bidi="zh-CN"/>
      </w:rPr>
    </w:lvl>
    <w:lvl w:ilvl="3" w:tentative="0">
      <w:start w:val="0"/>
      <w:numFmt w:val="bullet"/>
      <w:lvlText w:val="•"/>
      <w:lvlJc w:val="left"/>
      <w:pPr>
        <w:tabs>
          <w:tab w:val="left" w:pos="-420"/>
        </w:tabs>
        <w:ind w:left="3361" w:hanging="702"/>
      </w:pPr>
      <w:rPr>
        <w:rFonts w:hint="default"/>
        <w:lang w:val="zh-CN" w:eastAsia="zh-CN" w:bidi="zh-CN"/>
      </w:rPr>
    </w:lvl>
    <w:lvl w:ilvl="4" w:tentative="0">
      <w:start w:val="0"/>
      <w:numFmt w:val="bullet"/>
      <w:lvlText w:val="•"/>
      <w:lvlJc w:val="left"/>
      <w:pPr>
        <w:tabs>
          <w:tab w:val="left" w:pos="-420"/>
        </w:tabs>
        <w:ind w:left="4162" w:hanging="702"/>
      </w:pPr>
      <w:rPr>
        <w:rFonts w:hint="default"/>
        <w:lang w:val="zh-CN" w:eastAsia="zh-CN" w:bidi="zh-CN"/>
      </w:rPr>
    </w:lvl>
    <w:lvl w:ilvl="5" w:tentative="0">
      <w:start w:val="0"/>
      <w:numFmt w:val="bullet"/>
      <w:lvlText w:val="•"/>
      <w:lvlJc w:val="left"/>
      <w:pPr>
        <w:tabs>
          <w:tab w:val="left" w:pos="-420"/>
        </w:tabs>
        <w:ind w:left="4963" w:hanging="702"/>
      </w:pPr>
      <w:rPr>
        <w:rFonts w:hint="default"/>
        <w:lang w:val="zh-CN" w:eastAsia="zh-CN" w:bidi="zh-CN"/>
      </w:rPr>
    </w:lvl>
    <w:lvl w:ilvl="6" w:tentative="0">
      <w:start w:val="0"/>
      <w:numFmt w:val="bullet"/>
      <w:lvlText w:val="•"/>
      <w:lvlJc w:val="left"/>
      <w:pPr>
        <w:tabs>
          <w:tab w:val="left" w:pos="-420"/>
        </w:tabs>
        <w:ind w:left="5763" w:hanging="702"/>
      </w:pPr>
      <w:rPr>
        <w:rFonts w:hint="default"/>
        <w:lang w:val="zh-CN" w:eastAsia="zh-CN" w:bidi="zh-CN"/>
      </w:rPr>
    </w:lvl>
    <w:lvl w:ilvl="7" w:tentative="0">
      <w:start w:val="0"/>
      <w:numFmt w:val="bullet"/>
      <w:lvlText w:val="•"/>
      <w:lvlJc w:val="left"/>
      <w:pPr>
        <w:tabs>
          <w:tab w:val="left" w:pos="-420"/>
        </w:tabs>
        <w:ind w:left="6564" w:hanging="702"/>
      </w:pPr>
      <w:rPr>
        <w:rFonts w:hint="default"/>
        <w:lang w:val="zh-CN" w:eastAsia="zh-CN" w:bidi="zh-CN"/>
      </w:rPr>
    </w:lvl>
    <w:lvl w:ilvl="8" w:tentative="0">
      <w:start w:val="0"/>
      <w:numFmt w:val="bullet"/>
      <w:lvlText w:val="•"/>
      <w:lvlJc w:val="left"/>
      <w:pPr>
        <w:tabs>
          <w:tab w:val="left" w:pos="-420"/>
        </w:tabs>
        <w:ind w:left="7364" w:hanging="702"/>
      </w:pPr>
      <w:rPr>
        <w:rFonts w:hint="default"/>
        <w:lang w:val="zh-CN" w:eastAsia="zh-CN" w:bidi="zh-CN"/>
      </w:rPr>
    </w:lvl>
  </w:abstractNum>
  <w:abstractNum w:abstractNumId="2">
    <w:nsid w:val="A53726EF"/>
    <w:multiLevelType w:val="multilevel"/>
    <w:tmpl w:val="A53726EF"/>
    <w:lvl w:ilvl="0" w:tentative="0">
      <w:start w:val="1"/>
      <w:numFmt w:val="decimal"/>
      <w:lvlText w:val="%1."/>
      <w:lvlJc w:val="left"/>
      <w:pPr>
        <w:ind w:left="960" w:leftChars="0" w:hanging="393" w:firstLineChars="0"/>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1802" w:hanging="284"/>
      </w:pPr>
      <w:rPr>
        <w:rFonts w:hint="default"/>
        <w:lang w:val="zh-CN" w:eastAsia="zh-CN" w:bidi="zh-CN"/>
      </w:rPr>
    </w:lvl>
    <w:lvl w:ilvl="2" w:tentative="0">
      <w:start w:val="0"/>
      <w:numFmt w:val="bullet"/>
      <w:lvlText w:val="•"/>
      <w:lvlJc w:val="left"/>
      <w:pPr>
        <w:ind w:left="2645" w:hanging="284"/>
      </w:pPr>
      <w:rPr>
        <w:rFonts w:hint="default"/>
        <w:lang w:val="zh-CN" w:eastAsia="zh-CN" w:bidi="zh-CN"/>
      </w:rPr>
    </w:lvl>
    <w:lvl w:ilvl="3" w:tentative="0">
      <w:start w:val="0"/>
      <w:numFmt w:val="bullet"/>
      <w:lvlText w:val="•"/>
      <w:lvlJc w:val="left"/>
      <w:pPr>
        <w:ind w:left="3487" w:hanging="284"/>
      </w:pPr>
      <w:rPr>
        <w:rFonts w:hint="default"/>
        <w:lang w:val="zh-CN" w:eastAsia="zh-CN" w:bidi="zh-CN"/>
      </w:rPr>
    </w:lvl>
    <w:lvl w:ilvl="4" w:tentative="0">
      <w:start w:val="0"/>
      <w:numFmt w:val="bullet"/>
      <w:lvlText w:val="•"/>
      <w:lvlJc w:val="left"/>
      <w:pPr>
        <w:ind w:left="4330" w:hanging="284"/>
      </w:pPr>
      <w:rPr>
        <w:rFonts w:hint="default"/>
        <w:lang w:val="zh-CN" w:eastAsia="zh-CN" w:bidi="zh-CN"/>
      </w:rPr>
    </w:lvl>
    <w:lvl w:ilvl="5" w:tentative="0">
      <w:start w:val="0"/>
      <w:numFmt w:val="bullet"/>
      <w:lvlText w:val="•"/>
      <w:lvlJc w:val="left"/>
      <w:pPr>
        <w:ind w:left="5173" w:hanging="284"/>
      </w:pPr>
      <w:rPr>
        <w:rFonts w:hint="default"/>
        <w:lang w:val="zh-CN" w:eastAsia="zh-CN" w:bidi="zh-CN"/>
      </w:rPr>
    </w:lvl>
    <w:lvl w:ilvl="6" w:tentative="0">
      <w:start w:val="0"/>
      <w:numFmt w:val="bullet"/>
      <w:lvlText w:val="•"/>
      <w:lvlJc w:val="left"/>
      <w:pPr>
        <w:ind w:left="6015" w:hanging="284"/>
      </w:pPr>
      <w:rPr>
        <w:rFonts w:hint="default"/>
        <w:lang w:val="zh-CN" w:eastAsia="zh-CN" w:bidi="zh-CN"/>
      </w:rPr>
    </w:lvl>
    <w:lvl w:ilvl="7" w:tentative="0">
      <w:start w:val="0"/>
      <w:numFmt w:val="bullet"/>
      <w:lvlText w:val="•"/>
      <w:lvlJc w:val="left"/>
      <w:pPr>
        <w:ind w:left="6858" w:hanging="284"/>
      </w:pPr>
      <w:rPr>
        <w:rFonts w:hint="default"/>
        <w:lang w:val="zh-CN" w:eastAsia="zh-CN" w:bidi="zh-CN"/>
      </w:rPr>
    </w:lvl>
    <w:lvl w:ilvl="8" w:tentative="0">
      <w:start w:val="0"/>
      <w:numFmt w:val="bullet"/>
      <w:lvlText w:val="•"/>
      <w:lvlJc w:val="left"/>
      <w:pPr>
        <w:ind w:left="7700" w:hanging="284"/>
      </w:pPr>
      <w:rPr>
        <w:rFonts w:hint="default"/>
        <w:lang w:val="zh-CN" w:eastAsia="zh-CN" w:bidi="zh-CN"/>
      </w:rPr>
    </w:lvl>
  </w:abstractNum>
  <w:abstractNum w:abstractNumId="3">
    <w:nsid w:val="AA027147"/>
    <w:multiLevelType w:val="singleLevel"/>
    <w:tmpl w:val="AA027147"/>
    <w:lvl w:ilvl="0" w:tentative="0">
      <w:start w:val="1"/>
      <w:numFmt w:val="decimal"/>
      <w:suff w:val="nothing"/>
      <w:lvlText w:val="（%1）"/>
      <w:lvlJc w:val="left"/>
    </w:lvl>
  </w:abstractNum>
  <w:abstractNum w:abstractNumId="4">
    <w:nsid w:val="C441BFAD"/>
    <w:multiLevelType w:val="multilevel"/>
    <w:tmpl w:val="C441BFAD"/>
    <w:lvl w:ilvl="0" w:tentative="0">
      <w:start w:val="11"/>
      <w:numFmt w:val="decimal"/>
      <w:lvlText w:val="%1."/>
      <w:lvlJc w:val="left"/>
      <w:pPr>
        <w:ind w:left="1103" w:hanging="1103"/>
        <w:jc w:val="righ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1928" w:hanging="423"/>
      </w:pPr>
      <w:rPr>
        <w:rFonts w:hint="default"/>
        <w:lang w:val="zh-CN" w:eastAsia="zh-CN" w:bidi="zh-CN"/>
      </w:rPr>
    </w:lvl>
    <w:lvl w:ilvl="2" w:tentative="0">
      <w:start w:val="0"/>
      <w:numFmt w:val="bullet"/>
      <w:lvlText w:val="•"/>
      <w:lvlJc w:val="left"/>
      <w:pPr>
        <w:ind w:left="2757" w:hanging="423"/>
      </w:pPr>
      <w:rPr>
        <w:rFonts w:hint="default"/>
        <w:lang w:val="zh-CN" w:eastAsia="zh-CN" w:bidi="zh-CN"/>
      </w:rPr>
    </w:lvl>
    <w:lvl w:ilvl="3" w:tentative="0">
      <w:start w:val="0"/>
      <w:numFmt w:val="bullet"/>
      <w:lvlText w:val="•"/>
      <w:lvlJc w:val="left"/>
      <w:pPr>
        <w:ind w:left="3585" w:hanging="423"/>
      </w:pPr>
      <w:rPr>
        <w:rFonts w:hint="default"/>
        <w:lang w:val="zh-CN" w:eastAsia="zh-CN" w:bidi="zh-CN"/>
      </w:rPr>
    </w:lvl>
    <w:lvl w:ilvl="4" w:tentative="0">
      <w:start w:val="0"/>
      <w:numFmt w:val="bullet"/>
      <w:lvlText w:val="•"/>
      <w:lvlJc w:val="left"/>
      <w:pPr>
        <w:ind w:left="4414" w:hanging="423"/>
      </w:pPr>
      <w:rPr>
        <w:rFonts w:hint="default"/>
        <w:lang w:val="zh-CN" w:eastAsia="zh-CN" w:bidi="zh-CN"/>
      </w:rPr>
    </w:lvl>
    <w:lvl w:ilvl="5" w:tentative="0">
      <w:start w:val="0"/>
      <w:numFmt w:val="bullet"/>
      <w:lvlText w:val="•"/>
      <w:lvlJc w:val="left"/>
      <w:pPr>
        <w:ind w:left="5243" w:hanging="423"/>
      </w:pPr>
      <w:rPr>
        <w:rFonts w:hint="default"/>
        <w:lang w:val="zh-CN" w:eastAsia="zh-CN" w:bidi="zh-CN"/>
      </w:rPr>
    </w:lvl>
    <w:lvl w:ilvl="6" w:tentative="0">
      <w:start w:val="0"/>
      <w:numFmt w:val="bullet"/>
      <w:lvlText w:val="•"/>
      <w:lvlJc w:val="left"/>
      <w:pPr>
        <w:ind w:left="6071" w:hanging="423"/>
      </w:pPr>
      <w:rPr>
        <w:rFonts w:hint="default"/>
        <w:lang w:val="zh-CN" w:eastAsia="zh-CN" w:bidi="zh-CN"/>
      </w:rPr>
    </w:lvl>
    <w:lvl w:ilvl="7" w:tentative="0">
      <w:start w:val="0"/>
      <w:numFmt w:val="bullet"/>
      <w:lvlText w:val="•"/>
      <w:lvlJc w:val="left"/>
      <w:pPr>
        <w:ind w:left="6900" w:hanging="423"/>
      </w:pPr>
      <w:rPr>
        <w:rFonts w:hint="default"/>
        <w:lang w:val="zh-CN" w:eastAsia="zh-CN" w:bidi="zh-CN"/>
      </w:rPr>
    </w:lvl>
    <w:lvl w:ilvl="8" w:tentative="0">
      <w:start w:val="0"/>
      <w:numFmt w:val="bullet"/>
      <w:lvlText w:val="•"/>
      <w:lvlJc w:val="left"/>
      <w:pPr>
        <w:ind w:left="7728" w:hanging="423"/>
      </w:pPr>
      <w:rPr>
        <w:rFonts w:hint="default"/>
        <w:lang w:val="zh-CN" w:eastAsia="zh-CN" w:bidi="zh-CN"/>
      </w:rPr>
    </w:lvl>
  </w:abstractNum>
  <w:abstractNum w:abstractNumId="5">
    <w:nsid w:val="FC72D007"/>
    <w:multiLevelType w:val="singleLevel"/>
    <w:tmpl w:val="FC72D007"/>
    <w:lvl w:ilvl="0" w:tentative="0">
      <w:start w:val="1"/>
      <w:numFmt w:val="decimal"/>
      <w:suff w:val="nothing"/>
      <w:lvlText w:val="（%1）"/>
      <w:lvlJc w:val="left"/>
    </w:lvl>
  </w:abstractNum>
  <w:abstractNum w:abstractNumId="6">
    <w:nsid w:val="27B2E397"/>
    <w:multiLevelType w:val="multilevel"/>
    <w:tmpl w:val="27B2E397"/>
    <w:lvl w:ilvl="0" w:tentative="0">
      <w:start w:val="1"/>
      <w:numFmt w:val="decimal"/>
      <w:lvlText w:val="（%1）"/>
      <w:lvlJc w:val="left"/>
      <w:pPr>
        <w:ind w:left="116" w:hanging="116"/>
      </w:pPr>
      <w:rPr>
        <w:rFonts w:hint="default" w:ascii="宋体" w:hAnsi="宋体" w:eastAsia="宋体" w:cs="宋体"/>
        <w:spacing w:val="-1"/>
        <w:w w:val="100"/>
        <w:sz w:val="26"/>
        <w:szCs w:val="26"/>
        <w:lang w:val="zh-CN" w:eastAsia="zh-CN" w:bidi="zh-CN"/>
      </w:rPr>
    </w:lvl>
    <w:lvl w:ilvl="1" w:tentative="0">
      <w:start w:val="0"/>
      <w:numFmt w:val="bullet"/>
      <w:lvlText w:val="•"/>
      <w:lvlJc w:val="left"/>
      <w:pPr>
        <w:ind w:left="1046" w:hanging="707"/>
      </w:pPr>
      <w:rPr>
        <w:rFonts w:hint="default"/>
        <w:lang w:val="zh-CN" w:eastAsia="zh-CN" w:bidi="zh-CN"/>
      </w:rPr>
    </w:lvl>
    <w:lvl w:ilvl="2" w:tentative="0">
      <w:start w:val="0"/>
      <w:numFmt w:val="bullet"/>
      <w:lvlText w:val="•"/>
      <w:lvlJc w:val="left"/>
      <w:pPr>
        <w:ind w:left="1973" w:hanging="707"/>
      </w:pPr>
      <w:rPr>
        <w:rFonts w:hint="default"/>
        <w:lang w:val="zh-CN" w:eastAsia="zh-CN" w:bidi="zh-CN"/>
      </w:rPr>
    </w:lvl>
    <w:lvl w:ilvl="3" w:tentative="0">
      <w:start w:val="0"/>
      <w:numFmt w:val="bullet"/>
      <w:lvlText w:val="•"/>
      <w:lvlJc w:val="left"/>
      <w:pPr>
        <w:ind w:left="2899" w:hanging="707"/>
      </w:pPr>
      <w:rPr>
        <w:rFonts w:hint="default"/>
        <w:lang w:val="zh-CN" w:eastAsia="zh-CN" w:bidi="zh-CN"/>
      </w:rPr>
    </w:lvl>
    <w:lvl w:ilvl="4" w:tentative="0">
      <w:start w:val="0"/>
      <w:numFmt w:val="bullet"/>
      <w:lvlText w:val="•"/>
      <w:lvlJc w:val="left"/>
      <w:pPr>
        <w:ind w:left="3826" w:hanging="707"/>
      </w:pPr>
      <w:rPr>
        <w:rFonts w:hint="default"/>
        <w:lang w:val="zh-CN" w:eastAsia="zh-CN" w:bidi="zh-CN"/>
      </w:rPr>
    </w:lvl>
    <w:lvl w:ilvl="5" w:tentative="0">
      <w:start w:val="0"/>
      <w:numFmt w:val="bullet"/>
      <w:lvlText w:val="•"/>
      <w:lvlJc w:val="left"/>
      <w:pPr>
        <w:ind w:left="4753" w:hanging="707"/>
      </w:pPr>
      <w:rPr>
        <w:rFonts w:hint="default"/>
        <w:lang w:val="zh-CN" w:eastAsia="zh-CN" w:bidi="zh-CN"/>
      </w:rPr>
    </w:lvl>
    <w:lvl w:ilvl="6" w:tentative="0">
      <w:start w:val="0"/>
      <w:numFmt w:val="bullet"/>
      <w:lvlText w:val="•"/>
      <w:lvlJc w:val="left"/>
      <w:pPr>
        <w:ind w:left="5679" w:hanging="707"/>
      </w:pPr>
      <w:rPr>
        <w:rFonts w:hint="default"/>
        <w:lang w:val="zh-CN" w:eastAsia="zh-CN" w:bidi="zh-CN"/>
      </w:rPr>
    </w:lvl>
    <w:lvl w:ilvl="7" w:tentative="0">
      <w:start w:val="0"/>
      <w:numFmt w:val="bullet"/>
      <w:lvlText w:val="•"/>
      <w:lvlJc w:val="left"/>
      <w:pPr>
        <w:ind w:left="6606" w:hanging="707"/>
      </w:pPr>
      <w:rPr>
        <w:rFonts w:hint="default"/>
        <w:lang w:val="zh-CN" w:eastAsia="zh-CN" w:bidi="zh-CN"/>
      </w:rPr>
    </w:lvl>
    <w:lvl w:ilvl="8" w:tentative="0">
      <w:start w:val="0"/>
      <w:numFmt w:val="bullet"/>
      <w:lvlText w:val="•"/>
      <w:lvlJc w:val="left"/>
      <w:pPr>
        <w:ind w:left="7532" w:hanging="707"/>
      </w:pPr>
      <w:rPr>
        <w:rFonts w:hint="default"/>
        <w:lang w:val="zh-CN" w:eastAsia="zh-CN" w:bidi="zh-CN"/>
      </w:rPr>
    </w:lvl>
  </w:abstractNum>
  <w:abstractNum w:abstractNumId="7">
    <w:nsid w:val="52E42B52"/>
    <w:multiLevelType w:val="multilevel"/>
    <w:tmpl w:val="52E42B52"/>
    <w:lvl w:ilvl="0" w:tentative="0">
      <w:start w:val="1"/>
      <w:numFmt w:val="decimal"/>
      <w:lvlText w:val="（%1）"/>
      <w:lvlJc w:val="left"/>
      <w:pPr>
        <w:ind w:left="116" w:firstLine="451"/>
      </w:pPr>
      <w:rPr>
        <w:rFonts w:hint="default" w:ascii="宋体" w:hAnsi="宋体" w:eastAsia="宋体" w:cs="宋体"/>
        <w:spacing w:val="-1"/>
        <w:w w:val="100"/>
        <w:sz w:val="26"/>
        <w:szCs w:val="26"/>
        <w:lang w:val="zh-CN" w:eastAsia="zh-CN" w:bidi="zh-CN"/>
      </w:rPr>
    </w:lvl>
    <w:lvl w:ilvl="1" w:tentative="0">
      <w:start w:val="0"/>
      <w:numFmt w:val="bullet"/>
      <w:lvlText w:val="•"/>
      <w:lvlJc w:val="left"/>
      <w:pPr>
        <w:ind w:left="1046" w:hanging="707"/>
      </w:pPr>
      <w:rPr>
        <w:rFonts w:hint="default"/>
        <w:lang w:val="zh-CN" w:eastAsia="zh-CN" w:bidi="zh-CN"/>
      </w:rPr>
    </w:lvl>
    <w:lvl w:ilvl="2" w:tentative="0">
      <w:start w:val="0"/>
      <w:numFmt w:val="bullet"/>
      <w:lvlText w:val="•"/>
      <w:lvlJc w:val="left"/>
      <w:pPr>
        <w:ind w:left="1973" w:hanging="707"/>
      </w:pPr>
      <w:rPr>
        <w:rFonts w:hint="default"/>
        <w:lang w:val="zh-CN" w:eastAsia="zh-CN" w:bidi="zh-CN"/>
      </w:rPr>
    </w:lvl>
    <w:lvl w:ilvl="3" w:tentative="0">
      <w:start w:val="0"/>
      <w:numFmt w:val="bullet"/>
      <w:lvlText w:val="•"/>
      <w:lvlJc w:val="left"/>
      <w:pPr>
        <w:ind w:left="2899" w:hanging="707"/>
      </w:pPr>
      <w:rPr>
        <w:rFonts w:hint="default"/>
        <w:lang w:val="zh-CN" w:eastAsia="zh-CN" w:bidi="zh-CN"/>
      </w:rPr>
    </w:lvl>
    <w:lvl w:ilvl="4" w:tentative="0">
      <w:start w:val="0"/>
      <w:numFmt w:val="bullet"/>
      <w:lvlText w:val="•"/>
      <w:lvlJc w:val="left"/>
      <w:pPr>
        <w:ind w:left="3826" w:hanging="707"/>
      </w:pPr>
      <w:rPr>
        <w:rFonts w:hint="default"/>
        <w:lang w:val="zh-CN" w:eastAsia="zh-CN" w:bidi="zh-CN"/>
      </w:rPr>
    </w:lvl>
    <w:lvl w:ilvl="5" w:tentative="0">
      <w:start w:val="0"/>
      <w:numFmt w:val="bullet"/>
      <w:lvlText w:val="•"/>
      <w:lvlJc w:val="left"/>
      <w:pPr>
        <w:ind w:left="4753" w:hanging="707"/>
      </w:pPr>
      <w:rPr>
        <w:rFonts w:hint="default"/>
        <w:lang w:val="zh-CN" w:eastAsia="zh-CN" w:bidi="zh-CN"/>
      </w:rPr>
    </w:lvl>
    <w:lvl w:ilvl="6" w:tentative="0">
      <w:start w:val="0"/>
      <w:numFmt w:val="bullet"/>
      <w:lvlText w:val="•"/>
      <w:lvlJc w:val="left"/>
      <w:pPr>
        <w:ind w:left="5679" w:hanging="707"/>
      </w:pPr>
      <w:rPr>
        <w:rFonts w:hint="default"/>
        <w:lang w:val="zh-CN" w:eastAsia="zh-CN" w:bidi="zh-CN"/>
      </w:rPr>
    </w:lvl>
    <w:lvl w:ilvl="7" w:tentative="0">
      <w:start w:val="0"/>
      <w:numFmt w:val="bullet"/>
      <w:lvlText w:val="•"/>
      <w:lvlJc w:val="left"/>
      <w:pPr>
        <w:ind w:left="6606" w:hanging="707"/>
      </w:pPr>
      <w:rPr>
        <w:rFonts w:hint="default"/>
        <w:lang w:val="zh-CN" w:eastAsia="zh-CN" w:bidi="zh-CN"/>
      </w:rPr>
    </w:lvl>
    <w:lvl w:ilvl="8" w:tentative="0">
      <w:start w:val="0"/>
      <w:numFmt w:val="bullet"/>
      <w:lvlText w:val="•"/>
      <w:lvlJc w:val="left"/>
      <w:pPr>
        <w:ind w:left="7532" w:hanging="707"/>
      </w:pPr>
      <w:rPr>
        <w:rFonts w:hint="default"/>
        <w:lang w:val="zh-CN" w:eastAsia="zh-CN" w:bidi="zh-CN"/>
      </w:rPr>
    </w:lvl>
  </w:abstractNum>
  <w:abstractNum w:abstractNumId="8">
    <w:nsid w:val="6783FAB6"/>
    <w:multiLevelType w:val="multilevel"/>
    <w:tmpl w:val="6783FAB6"/>
    <w:lvl w:ilvl="0" w:tentative="0">
      <w:start w:val="1"/>
      <w:numFmt w:val="decimal"/>
      <w:lvlText w:val="（%1）"/>
      <w:lvlJc w:val="left"/>
      <w:pPr>
        <w:ind w:left="116" w:hanging="116"/>
      </w:pPr>
      <w:rPr>
        <w:rFonts w:hint="default" w:ascii="宋体" w:hAnsi="宋体" w:eastAsia="宋体" w:cs="宋体"/>
        <w:spacing w:val="-1"/>
        <w:w w:val="100"/>
        <w:sz w:val="26"/>
        <w:szCs w:val="26"/>
        <w:lang w:val="zh-CN" w:eastAsia="zh-CN" w:bidi="zh-CN"/>
      </w:rPr>
    </w:lvl>
    <w:lvl w:ilvl="1" w:tentative="0">
      <w:start w:val="0"/>
      <w:numFmt w:val="bullet"/>
      <w:lvlText w:val="•"/>
      <w:lvlJc w:val="left"/>
      <w:pPr>
        <w:ind w:left="1046" w:hanging="707"/>
      </w:pPr>
      <w:rPr>
        <w:rFonts w:hint="default"/>
        <w:lang w:val="zh-CN" w:eastAsia="zh-CN" w:bidi="zh-CN"/>
      </w:rPr>
    </w:lvl>
    <w:lvl w:ilvl="2" w:tentative="0">
      <w:start w:val="0"/>
      <w:numFmt w:val="bullet"/>
      <w:lvlText w:val="•"/>
      <w:lvlJc w:val="left"/>
      <w:pPr>
        <w:ind w:left="1973" w:hanging="707"/>
      </w:pPr>
      <w:rPr>
        <w:rFonts w:hint="default"/>
        <w:lang w:val="zh-CN" w:eastAsia="zh-CN" w:bidi="zh-CN"/>
      </w:rPr>
    </w:lvl>
    <w:lvl w:ilvl="3" w:tentative="0">
      <w:start w:val="0"/>
      <w:numFmt w:val="bullet"/>
      <w:lvlText w:val="•"/>
      <w:lvlJc w:val="left"/>
      <w:pPr>
        <w:ind w:left="2899" w:hanging="707"/>
      </w:pPr>
      <w:rPr>
        <w:rFonts w:hint="default"/>
        <w:lang w:val="zh-CN" w:eastAsia="zh-CN" w:bidi="zh-CN"/>
      </w:rPr>
    </w:lvl>
    <w:lvl w:ilvl="4" w:tentative="0">
      <w:start w:val="0"/>
      <w:numFmt w:val="bullet"/>
      <w:lvlText w:val="•"/>
      <w:lvlJc w:val="left"/>
      <w:pPr>
        <w:ind w:left="3826" w:hanging="707"/>
      </w:pPr>
      <w:rPr>
        <w:rFonts w:hint="default"/>
        <w:lang w:val="zh-CN" w:eastAsia="zh-CN" w:bidi="zh-CN"/>
      </w:rPr>
    </w:lvl>
    <w:lvl w:ilvl="5" w:tentative="0">
      <w:start w:val="0"/>
      <w:numFmt w:val="bullet"/>
      <w:lvlText w:val="•"/>
      <w:lvlJc w:val="left"/>
      <w:pPr>
        <w:ind w:left="4753" w:hanging="707"/>
      </w:pPr>
      <w:rPr>
        <w:rFonts w:hint="default"/>
        <w:lang w:val="zh-CN" w:eastAsia="zh-CN" w:bidi="zh-CN"/>
      </w:rPr>
    </w:lvl>
    <w:lvl w:ilvl="6" w:tentative="0">
      <w:start w:val="0"/>
      <w:numFmt w:val="bullet"/>
      <w:lvlText w:val="•"/>
      <w:lvlJc w:val="left"/>
      <w:pPr>
        <w:ind w:left="5679" w:hanging="707"/>
      </w:pPr>
      <w:rPr>
        <w:rFonts w:hint="default"/>
        <w:lang w:val="zh-CN" w:eastAsia="zh-CN" w:bidi="zh-CN"/>
      </w:rPr>
    </w:lvl>
    <w:lvl w:ilvl="7" w:tentative="0">
      <w:start w:val="0"/>
      <w:numFmt w:val="bullet"/>
      <w:lvlText w:val="•"/>
      <w:lvlJc w:val="left"/>
      <w:pPr>
        <w:ind w:left="6606" w:hanging="707"/>
      </w:pPr>
      <w:rPr>
        <w:rFonts w:hint="default"/>
        <w:lang w:val="zh-CN" w:eastAsia="zh-CN" w:bidi="zh-CN"/>
      </w:rPr>
    </w:lvl>
    <w:lvl w:ilvl="8" w:tentative="0">
      <w:start w:val="0"/>
      <w:numFmt w:val="bullet"/>
      <w:lvlText w:val="•"/>
      <w:lvlJc w:val="left"/>
      <w:pPr>
        <w:ind w:left="7532" w:hanging="707"/>
      </w:pPr>
      <w:rPr>
        <w:rFonts w:hint="default"/>
        <w:lang w:val="zh-CN" w:eastAsia="zh-CN" w:bidi="zh-CN"/>
      </w:rPr>
    </w:lvl>
  </w:abstractNum>
  <w:abstractNum w:abstractNumId="9">
    <w:nsid w:val="79DFF5EE"/>
    <w:multiLevelType w:val="multilevel"/>
    <w:tmpl w:val="79DFF5EE"/>
    <w:lvl w:ilvl="0" w:tentative="0">
      <w:start w:val="1"/>
      <w:numFmt w:val="decimal"/>
      <w:lvlText w:val="（%1）"/>
      <w:lvlJc w:val="left"/>
      <w:pPr>
        <w:tabs>
          <w:tab w:val="left" w:pos="420"/>
        </w:tabs>
        <w:ind w:left="1128" w:leftChars="0" w:hanging="708" w:firstLineChars="0"/>
      </w:pPr>
      <w:rPr>
        <w:rFonts w:hint="default" w:ascii="宋体" w:hAnsi="宋体" w:eastAsia="宋体" w:cs="宋体"/>
        <w:spacing w:val="-15"/>
        <w:w w:val="100"/>
        <w:sz w:val="26"/>
        <w:szCs w:val="26"/>
        <w:lang w:val="en-US" w:eastAsia="zh-CN" w:bidi="ar-SA"/>
      </w:rPr>
    </w:lvl>
    <w:lvl w:ilvl="1" w:tentative="0">
      <w:start w:val="0"/>
      <w:numFmt w:val="bullet"/>
      <w:lvlText w:val="•"/>
      <w:lvlJc w:val="left"/>
      <w:pPr>
        <w:tabs>
          <w:tab w:val="left" w:pos="0"/>
        </w:tabs>
        <w:ind w:left="2140" w:hanging="683"/>
      </w:pPr>
      <w:rPr>
        <w:rFonts w:hint="default"/>
        <w:lang w:val="en-US" w:eastAsia="zh-CN" w:bidi="ar-SA"/>
      </w:rPr>
    </w:lvl>
    <w:lvl w:ilvl="2" w:tentative="0">
      <w:start w:val="0"/>
      <w:numFmt w:val="bullet"/>
      <w:lvlText w:val="•"/>
      <w:lvlJc w:val="left"/>
      <w:pPr>
        <w:tabs>
          <w:tab w:val="left" w:pos="0"/>
        </w:tabs>
        <w:ind w:left="2941" w:hanging="683"/>
      </w:pPr>
      <w:rPr>
        <w:rFonts w:hint="default"/>
        <w:lang w:val="en-US" w:eastAsia="zh-CN" w:bidi="ar-SA"/>
      </w:rPr>
    </w:lvl>
    <w:lvl w:ilvl="3" w:tentative="0">
      <w:start w:val="0"/>
      <w:numFmt w:val="bullet"/>
      <w:lvlText w:val="•"/>
      <w:lvlJc w:val="left"/>
      <w:pPr>
        <w:tabs>
          <w:tab w:val="left" w:pos="0"/>
        </w:tabs>
        <w:ind w:left="3741" w:hanging="683"/>
      </w:pPr>
      <w:rPr>
        <w:rFonts w:hint="default"/>
        <w:lang w:val="en-US" w:eastAsia="zh-CN" w:bidi="ar-SA"/>
      </w:rPr>
    </w:lvl>
    <w:lvl w:ilvl="4" w:tentative="0">
      <w:start w:val="0"/>
      <w:numFmt w:val="bullet"/>
      <w:lvlText w:val="•"/>
      <w:lvlJc w:val="left"/>
      <w:pPr>
        <w:tabs>
          <w:tab w:val="left" w:pos="0"/>
        </w:tabs>
        <w:ind w:left="4542" w:hanging="683"/>
      </w:pPr>
      <w:rPr>
        <w:rFonts w:hint="default"/>
        <w:lang w:val="en-US" w:eastAsia="zh-CN" w:bidi="ar-SA"/>
      </w:rPr>
    </w:lvl>
    <w:lvl w:ilvl="5" w:tentative="0">
      <w:start w:val="0"/>
      <w:numFmt w:val="bullet"/>
      <w:lvlText w:val="•"/>
      <w:lvlJc w:val="left"/>
      <w:pPr>
        <w:tabs>
          <w:tab w:val="left" w:pos="0"/>
        </w:tabs>
        <w:ind w:left="5343" w:hanging="683"/>
      </w:pPr>
      <w:rPr>
        <w:rFonts w:hint="default"/>
        <w:lang w:val="en-US" w:eastAsia="zh-CN" w:bidi="ar-SA"/>
      </w:rPr>
    </w:lvl>
    <w:lvl w:ilvl="6" w:tentative="0">
      <w:start w:val="0"/>
      <w:numFmt w:val="bullet"/>
      <w:lvlText w:val="•"/>
      <w:lvlJc w:val="left"/>
      <w:pPr>
        <w:tabs>
          <w:tab w:val="left" w:pos="0"/>
        </w:tabs>
        <w:ind w:left="6143" w:hanging="683"/>
      </w:pPr>
      <w:rPr>
        <w:rFonts w:hint="default"/>
        <w:lang w:val="en-US" w:eastAsia="zh-CN" w:bidi="ar-SA"/>
      </w:rPr>
    </w:lvl>
    <w:lvl w:ilvl="7" w:tentative="0">
      <w:start w:val="0"/>
      <w:numFmt w:val="bullet"/>
      <w:lvlText w:val="•"/>
      <w:lvlJc w:val="left"/>
      <w:pPr>
        <w:tabs>
          <w:tab w:val="left" w:pos="0"/>
        </w:tabs>
        <w:ind w:left="6944" w:hanging="683"/>
      </w:pPr>
      <w:rPr>
        <w:rFonts w:hint="default"/>
        <w:lang w:val="en-US" w:eastAsia="zh-CN" w:bidi="ar-SA"/>
      </w:rPr>
    </w:lvl>
    <w:lvl w:ilvl="8" w:tentative="0">
      <w:start w:val="0"/>
      <w:numFmt w:val="bullet"/>
      <w:lvlText w:val="•"/>
      <w:lvlJc w:val="left"/>
      <w:pPr>
        <w:tabs>
          <w:tab w:val="left" w:pos="0"/>
        </w:tabs>
        <w:ind w:left="7744" w:hanging="683"/>
      </w:pPr>
      <w:rPr>
        <w:rFonts w:hint="default"/>
        <w:lang w:val="en-US" w:eastAsia="zh-CN" w:bidi="ar-SA"/>
      </w:rPr>
    </w:lvl>
  </w:abstractNum>
  <w:num w:numId="1">
    <w:abstractNumId w:val="2"/>
  </w:num>
  <w:num w:numId="2">
    <w:abstractNumId w:val="9"/>
  </w:num>
  <w:num w:numId="3">
    <w:abstractNumId w:val="3"/>
  </w:num>
  <w:num w:numId="4">
    <w:abstractNumId w:val="7"/>
  </w:num>
  <w:num w:numId="5">
    <w:abstractNumId w:val="1"/>
  </w:num>
  <w:num w:numId="6">
    <w:abstractNumId w:val="5"/>
  </w:num>
  <w:num w:numId="7">
    <w:abstractNumId w:val="8"/>
  </w:num>
  <w:num w:numId="8">
    <w:abstractNumId w:val="4"/>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B7D"/>
    <w:rsid w:val="00556D15"/>
    <w:rsid w:val="006A4DF9"/>
    <w:rsid w:val="007F2B7D"/>
    <w:rsid w:val="008D184F"/>
    <w:rsid w:val="00A01091"/>
    <w:rsid w:val="00A47442"/>
    <w:rsid w:val="00AB0F70"/>
    <w:rsid w:val="00D9005E"/>
    <w:rsid w:val="00F8489B"/>
    <w:rsid w:val="02117B55"/>
    <w:rsid w:val="08AE6562"/>
    <w:rsid w:val="0A0E231D"/>
    <w:rsid w:val="159D1669"/>
    <w:rsid w:val="200A0E52"/>
    <w:rsid w:val="2C1F2495"/>
    <w:rsid w:val="2CB27FEB"/>
    <w:rsid w:val="322F7B9A"/>
    <w:rsid w:val="38EC09B4"/>
    <w:rsid w:val="3FBF2DB3"/>
    <w:rsid w:val="453C2A7F"/>
    <w:rsid w:val="4E4F4DBF"/>
    <w:rsid w:val="558E4F65"/>
    <w:rsid w:val="6B67037F"/>
    <w:rsid w:val="6F66704B"/>
    <w:rsid w:val="744340F6"/>
    <w:rsid w:val="77E765EF"/>
    <w:rsid w:val="7DF86BC8"/>
    <w:rsid w:val="7ED92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qFormat/>
    <w:uiPriority w:val="1"/>
    <w:pPr>
      <w:spacing w:line="415" w:lineRule="exact"/>
      <w:ind w:left="780"/>
      <w:jc w:val="both"/>
      <w:outlineLvl w:val="0"/>
    </w:pPr>
    <w:rPr>
      <w:rFonts w:ascii="Microsoft JhengHei" w:hAnsi="Microsoft JhengHei" w:eastAsia="Microsoft JhengHei" w:cs="Microsoft JhengHei"/>
      <w:b/>
      <w:bCs/>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semiHidden/>
    <w:unhideWhenUsed/>
    <w:qFormat/>
    <w:uiPriority w:val="99"/>
  </w:style>
  <w:style w:type="paragraph" w:styleId="4">
    <w:name w:val="Body Text"/>
    <w:basedOn w:val="1"/>
    <w:qFormat/>
    <w:uiPriority w:val="1"/>
    <w:pPr>
      <w:ind w:left="120"/>
    </w:pPr>
    <w:rPr>
      <w:sz w:val="28"/>
      <w:szCs w:val="28"/>
    </w:rPr>
  </w:style>
  <w:style w:type="paragraph" w:styleId="5">
    <w:name w:val="Balloon Text"/>
    <w:basedOn w:val="1"/>
    <w:link w:val="15"/>
    <w:semiHidden/>
    <w:unhideWhenUsed/>
    <w:qFormat/>
    <w:uiPriority w:val="99"/>
    <w:rPr>
      <w:sz w:val="18"/>
      <w:szCs w:val="18"/>
    </w:rPr>
  </w:style>
  <w:style w:type="paragraph" w:styleId="6">
    <w:name w:val="Title"/>
    <w:basedOn w:val="1"/>
    <w:qFormat/>
    <w:uiPriority w:val="1"/>
    <w:pPr>
      <w:spacing w:before="50"/>
      <w:ind w:left="2292" w:right="1493" w:hanging="1080"/>
    </w:pPr>
    <w:rPr>
      <w:sz w:val="36"/>
      <w:szCs w:val="36"/>
    </w:rPr>
  </w:style>
  <w:style w:type="paragraph" w:styleId="7">
    <w:name w:val="annotation subject"/>
    <w:basedOn w:val="3"/>
    <w:next w:val="3"/>
    <w:link w:val="17"/>
    <w:semiHidden/>
    <w:unhideWhenUsed/>
    <w:qFormat/>
    <w:uiPriority w:val="99"/>
    <w:rPr>
      <w:b/>
      <w:bCs/>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ind w:left="120" w:right="397" w:firstLine="559"/>
    </w:pPr>
  </w:style>
  <w:style w:type="paragraph" w:customStyle="1" w:styleId="14">
    <w:name w:val="Table Paragraph"/>
    <w:basedOn w:val="1"/>
    <w:qFormat/>
    <w:uiPriority w:val="1"/>
  </w:style>
  <w:style w:type="character" w:customStyle="1" w:styleId="15">
    <w:name w:val="批注框文本 字符"/>
    <w:basedOn w:val="10"/>
    <w:link w:val="5"/>
    <w:semiHidden/>
    <w:qFormat/>
    <w:uiPriority w:val="99"/>
    <w:rPr>
      <w:rFonts w:ascii="宋体" w:hAnsi="宋体" w:eastAsia="宋体" w:cs="宋体"/>
      <w:sz w:val="18"/>
      <w:szCs w:val="18"/>
    </w:rPr>
  </w:style>
  <w:style w:type="character" w:customStyle="1" w:styleId="16">
    <w:name w:val="批注文字 字符"/>
    <w:basedOn w:val="10"/>
    <w:link w:val="3"/>
    <w:semiHidden/>
    <w:qFormat/>
    <w:uiPriority w:val="99"/>
    <w:rPr>
      <w:rFonts w:ascii="宋体" w:hAnsi="宋体" w:eastAsia="宋体" w:cs="宋体"/>
      <w:sz w:val="22"/>
      <w:szCs w:val="22"/>
    </w:rPr>
  </w:style>
  <w:style w:type="character" w:customStyle="1" w:styleId="17">
    <w:name w:val="批注主题 字符"/>
    <w:basedOn w:val="16"/>
    <w:link w:val="7"/>
    <w:semiHidden/>
    <w:qFormat/>
    <w:uiPriority w:val="99"/>
    <w:rPr>
      <w:rFonts w:ascii="宋体" w:hAnsi="宋体" w:eastAsia="宋体" w:cs="宋体"/>
      <w:b/>
      <w:bCs/>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207</Words>
  <Characters>1186</Characters>
  <Lines>9</Lines>
  <Paragraphs>2</Paragraphs>
  <TotalTime>42</TotalTime>
  <ScaleCrop>false</ScaleCrop>
  <LinksUpToDate>false</LinksUpToDate>
  <CharactersWithSpaces>1391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2020-10-19T09:34:00Z</dcterms:created>
  <dc:creator>Lenovo</dc:creator>
  <cp:lastModifiedBy>田莉</cp:lastModifiedBy>
  <cp:lastPrinted>2020-10-20T01:04:00Z</cp:lastPrinted>
  <dcterms:modified xsi:type="dcterms:W3CDTF">2021-04-13T08:35:17Z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2020-03-27T00:00:00Z</vt:filetime>
  </property>
  <property fmtid="{D5CDD505-2E9C-101B-9397-08002B2CF9AE}" pid="3" name="Creator">
    <vt:lpwstr>WPS 文字</vt:lpwstr>
  </property>
  <property fmtid="{D5CDD505-2E9C-101B-9397-08002B2CF9AE}" pid="4" name="LastSaved">
    <vt:filetime>2020-10-19T00:00:00Z</vt:filetime>
  </property>
  <property fmtid="{D5CDD505-2E9C-101B-9397-08002B2CF9AE}" pid="5" name="KSOProductBuildVer">
    <vt:lpwstr>2052-11.1.0.10356</vt:lpwstr>
  </property>
  <property fmtid="{D5CDD505-2E9C-101B-9397-08002B2CF9AE}" pid="6" name="ICV">
    <vt:lpwstr>E5A895664C9B467FB814D69C62C302DF</vt:lpwstr>
  </property>
</Properties>
</file>