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both"/>
        <w:rPr>
          <w:rFonts w:ascii="黑体" w:hAnsi="黑体" w:eastAsia="黑体"/>
          <w:color w:val="333333"/>
          <w:spacing w:val="8"/>
          <w:sz w:val="32"/>
          <w:szCs w:val="32"/>
        </w:rPr>
      </w:pPr>
      <w:bookmarkStart w:id="0" w:name="_Hlk81241836"/>
      <w:r>
        <w:rPr>
          <w:rFonts w:hint="eastAsia" w:ascii="黑体" w:hAnsi="黑体" w:eastAsia="黑体"/>
          <w:color w:val="333333"/>
          <w:spacing w:val="8"/>
          <w:sz w:val="32"/>
          <w:szCs w:val="32"/>
        </w:rPr>
        <w:t>附件5：</w:t>
      </w:r>
      <w:bookmarkEnd w:id="0"/>
    </w:p>
    <w:p>
      <w:pPr>
        <w:jc w:val="center"/>
        <w:rPr>
          <w:rFonts w:ascii="方正小标宋简体" w:eastAsia="方正小标宋简体"/>
          <w:sz w:val="32"/>
          <w:szCs w:val="32"/>
        </w:rPr>
      </w:pPr>
      <w:r>
        <w:rPr>
          <w:rFonts w:hint="eastAsia" w:ascii="方正小标宋简体" w:eastAsia="方正小标宋简体"/>
          <w:sz w:val="32"/>
          <w:szCs w:val="32"/>
        </w:rPr>
        <w:t>比选评分标准</w:t>
      </w:r>
    </w:p>
    <w:tbl>
      <w:tblPr>
        <w:tblStyle w:val="4"/>
        <w:tblW w:w="54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7"/>
        <w:gridCol w:w="547"/>
        <w:gridCol w:w="383"/>
        <w:gridCol w:w="7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300" w:type="pct"/>
            <w:vAlign w:val="center"/>
          </w:tcPr>
          <w:p>
            <w:pPr>
              <w:tabs>
                <w:tab w:val="left" w:pos="540"/>
                <w:tab w:val="left" w:pos="6285"/>
              </w:tabs>
              <w:spacing w:line="440" w:lineRule="exact"/>
              <w:jc w:val="center"/>
              <w:rPr>
                <w:rFonts w:ascii="仿宋" w:hAnsi="仿宋" w:eastAsia="仿宋"/>
                <w:b/>
                <w:bCs/>
                <w:sz w:val="24"/>
              </w:rPr>
            </w:pPr>
            <w:r>
              <w:rPr>
                <w:rFonts w:hint="eastAsia" w:ascii="仿宋" w:hAnsi="仿宋" w:eastAsia="仿宋"/>
                <w:b/>
                <w:bCs/>
                <w:sz w:val="24"/>
              </w:rPr>
              <w:t>比选内容</w:t>
            </w:r>
          </w:p>
        </w:tc>
        <w:tc>
          <w:tcPr>
            <w:tcW w:w="300" w:type="pct"/>
            <w:vAlign w:val="center"/>
          </w:tcPr>
          <w:p>
            <w:pPr>
              <w:tabs>
                <w:tab w:val="left" w:pos="540"/>
                <w:tab w:val="left" w:pos="6285"/>
              </w:tabs>
              <w:spacing w:line="440" w:lineRule="exact"/>
              <w:jc w:val="center"/>
              <w:rPr>
                <w:rFonts w:ascii="仿宋" w:hAnsi="仿宋" w:eastAsia="仿宋"/>
                <w:b/>
                <w:bCs/>
                <w:sz w:val="24"/>
              </w:rPr>
            </w:pPr>
            <w:r>
              <w:rPr>
                <w:rFonts w:hint="eastAsia" w:ascii="仿宋" w:hAnsi="仿宋" w:eastAsia="仿宋"/>
                <w:b/>
                <w:bCs/>
                <w:sz w:val="24"/>
              </w:rPr>
              <w:t>分项</w:t>
            </w:r>
          </w:p>
        </w:tc>
        <w:tc>
          <w:tcPr>
            <w:tcW w:w="210" w:type="pct"/>
            <w:vAlign w:val="center"/>
          </w:tcPr>
          <w:p>
            <w:pPr>
              <w:tabs>
                <w:tab w:val="left" w:pos="540"/>
                <w:tab w:val="left" w:pos="6285"/>
              </w:tabs>
              <w:spacing w:line="440" w:lineRule="exact"/>
              <w:jc w:val="center"/>
              <w:rPr>
                <w:rFonts w:ascii="仿宋" w:hAnsi="仿宋" w:eastAsia="仿宋"/>
                <w:b/>
                <w:bCs/>
                <w:sz w:val="24"/>
              </w:rPr>
            </w:pPr>
            <w:r>
              <w:rPr>
                <w:rFonts w:hint="eastAsia" w:ascii="仿宋" w:hAnsi="仿宋" w:eastAsia="仿宋"/>
                <w:b/>
                <w:bCs/>
                <w:sz w:val="24"/>
              </w:rPr>
              <w:t>分</w:t>
            </w:r>
          </w:p>
          <w:p>
            <w:pPr>
              <w:tabs>
                <w:tab w:val="left" w:pos="540"/>
                <w:tab w:val="left" w:pos="6285"/>
              </w:tabs>
              <w:spacing w:line="440" w:lineRule="exact"/>
              <w:jc w:val="center"/>
              <w:rPr>
                <w:rFonts w:ascii="仿宋" w:hAnsi="仿宋" w:eastAsia="仿宋"/>
                <w:b/>
                <w:bCs/>
                <w:sz w:val="24"/>
              </w:rPr>
            </w:pPr>
            <w:r>
              <w:rPr>
                <w:rFonts w:hint="eastAsia" w:ascii="仿宋" w:hAnsi="仿宋" w:eastAsia="仿宋"/>
                <w:b/>
                <w:bCs/>
                <w:sz w:val="24"/>
              </w:rPr>
              <w:t>数</w:t>
            </w:r>
          </w:p>
        </w:tc>
        <w:tc>
          <w:tcPr>
            <w:tcW w:w="4187" w:type="pct"/>
            <w:vAlign w:val="center"/>
          </w:tcPr>
          <w:p>
            <w:pPr>
              <w:tabs>
                <w:tab w:val="left" w:pos="540"/>
                <w:tab w:val="left" w:pos="6285"/>
              </w:tabs>
              <w:spacing w:line="440" w:lineRule="exact"/>
              <w:ind w:firstLine="482" w:firstLineChars="200"/>
              <w:jc w:val="center"/>
              <w:rPr>
                <w:rFonts w:ascii="仿宋" w:hAnsi="仿宋" w:eastAsia="仿宋"/>
                <w:b/>
                <w:bCs/>
                <w:sz w:val="24"/>
              </w:rPr>
            </w:pPr>
            <w:r>
              <w:rPr>
                <w:rFonts w:hint="eastAsia" w:ascii="仿宋" w:hAnsi="仿宋" w:eastAsia="仿宋"/>
                <w:b/>
                <w:bCs/>
                <w:sz w:val="24"/>
              </w:rPr>
              <w:t>比选原则与标准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jc w:val="center"/>
        </w:trPr>
        <w:tc>
          <w:tcPr>
            <w:tcW w:w="300" w:type="pct"/>
            <w:vMerge w:val="restar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主管评分项</w:t>
            </w:r>
          </w:p>
        </w:tc>
        <w:tc>
          <w:tcPr>
            <w:tcW w:w="300" w:type="pc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现场述标</w:t>
            </w:r>
          </w:p>
        </w:tc>
        <w:tc>
          <w:tcPr>
            <w:tcW w:w="210" w:type="pc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10</w:t>
            </w:r>
          </w:p>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分</w:t>
            </w:r>
          </w:p>
        </w:tc>
        <w:tc>
          <w:tcPr>
            <w:tcW w:w="4187" w:type="pct"/>
            <w:vAlign w:val="center"/>
          </w:tcPr>
          <w:p>
            <w:pPr>
              <w:tabs>
                <w:tab w:val="left" w:pos="540"/>
                <w:tab w:val="left" w:pos="6285"/>
              </w:tabs>
              <w:jc w:val="left"/>
              <w:rPr>
                <w:rFonts w:ascii="仿宋" w:hAnsi="仿宋" w:eastAsia="仿宋"/>
                <w:bCs/>
                <w:sz w:val="24"/>
              </w:rPr>
            </w:pPr>
            <w:r>
              <w:rPr>
                <w:rFonts w:hint="eastAsia" w:ascii="仿宋" w:hAnsi="仿宋" w:eastAsia="仿宋"/>
                <w:bCs/>
                <w:sz w:val="24"/>
              </w:rPr>
              <w:t>参评机构根据自身企业状况，将企业规模、管理水平和服务情况、历年业务情况等内容进行现场叙述，比选小组根据情况综合比较后，优秀的得8-10分，良好的得5-7分，一般的得1-4分。</w:t>
            </w:r>
          </w:p>
          <w:p>
            <w:pPr>
              <w:tabs>
                <w:tab w:val="left" w:pos="540"/>
                <w:tab w:val="left" w:pos="6285"/>
              </w:tabs>
              <w:jc w:val="left"/>
              <w:rPr>
                <w:rFonts w:ascii="仿宋" w:hAnsi="仿宋" w:eastAsia="仿宋"/>
                <w:bCs/>
                <w:sz w:val="24"/>
              </w:rPr>
            </w:pPr>
            <w:r>
              <w:rPr>
                <w:rFonts w:hint="eastAsia" w:ascii="仿宋" w:hAnsi="仿宋" w:eastAsia="仿宋" w:cs="宋体"/>
                <w:b/>
                <w:bCs/>
                <w:sz w:val="24"/>
              </w:rPr>
              <w:t>注：参评机构需结合PPT演示，讲解时间严格控制在5分钟以内。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9" w:hRule="atLeast"/>
          <w:jc w:val="center"/>
        </w:trPr>
        <w:tc>
          <w:tcPr>
            <w:tcW w:w="300" w:type="pct"/>
            <w:vMerge w:val="continue"/>
            <w:vAlign w:val="center"/>
          </w:tcPr>
          <w:p>
            <w:pPr>
              <w:tabs>
                <w:tab w:val="left" w:pos="540"/>
                <w:tab w:val="left" w:pos="6285"/>
              </w:tabs>
              <w:spacing w:line="440" w:lineRule="exact"/>
              <w:jc w:val="center"/>
              <w:rPr>
                <w:rFonts w:ascii="仿宋" w:hAnsi="仿宋" w:eastAsia="仿宋"/>
                <w:bCs/>
                <w:sz w:val="24"/>
              </w:rPr>
            </w:pPr>
          </w:p>
        </w:tc>
        <w:tc>
          <w:tcPr>
            <w:tcW w:w="300" w:type="pc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服务方案</w:t>
            </w:r>
          </w:p>
        </w:tc>
        <w:tc>
          <w:tcPr>
            <w:tcW w:w="210" w:type="pct"/>
            <w:vAlign w:val="center"/>
          </w:tcPr>
          <w:p>
            <w:pPr>
              <w:tabs>
                <w:tab w:val="left" w:pos="540"/>
                <w:tab w:val="left" w:pos="6285"/>
              </w:tabs>
              <w:spacing w:line="440" w:lineRule="exact"/>
              <w:jc w:val="center"/>
              <w:rPr>
                <w:rFonts w:ascii="仿宋" w:hAnsi="仿宋" w:eastAsia="仿宋"/>
                <w:bCs/>
                <w:sz w:val="24"/>
              </w:rPr>
            </w:pPr>
            <w:r>
              <w:rPr>
                <w:rFonts w:ascii="仿宋" w:hAnsi="仿宋" w:eastAsia="仿宋"/>
                <w:bCs/>
                <w:sz w:val="24"/>
              </w:rPr>
              <w:t>1</w:t>
            </w:r>
            <w:r>
              <w:rPr>
                <w:rFonts w:hint="eastAsia" w:ascii="仿宋" w:hAnsi="仿宋" w:eastAsia="仿宋"/>
                <w:bCs/>
                <w:sz w:val="24"/>
              </w:rPr>
              <w:t>2分</w:t>
            </w:r>
          </w:p>
        </w:tc>
        <w:tc>
          <w:tcPr>
            <w:tcW w:w="4187" w:type="pct"/>
            <w:vAlign w:val="center"/>
          </w:tcPr>
          <w:p>
            <w:pPr>
              <w:spacing w:line="276" w:lineRule="auto"/>
              <w:rPr>
                <w:rFonts w:ascii="仿宋" w:hAnsi="仿宋" w:eastAsia="仿宋"/>
                <w:sz w:val="24"/>
              </w:rPr>
            </w:pPr>
            <w:r>
              <w:rPr>
                <w:rFonts w:hint="eastAsia" w:ascii="仿宋" w:hAnsi="仿宋" w:eastAsia="仿宋"/>
                <w:bCs/>
                <w:sz w:val="24"/>
              </w:rPr>
              <w:t>参评机构需提供的采购代理服务方案，包含但不限于：（1）需求论证；（2）文件编制及合法性审查；（3）评审管理；（4）合同签订；（5）档案管理；（6）履约验收；（7）质疑投诉处理；（8）突发应急预案等进行综合评比。方案结构严谨，对项目履约目标分析结合实际且针对性强，内容科学合理、完整翔实，语言表述准确清晰，可信度高的得10</w:t>
            </w:r>
            <w:r>
              <w:rPr>
                <w:rFonts w:ascii="仿宋" w:hAnsi="仿宋" w:eastAsia="仿宋"/>
                <w:bCs/>
                <w:sz w:val="24"/>
              </w:rPr>
              <w:t>-1</w:t>
            </w:r>
            <w:r>
              <w:rPr>
                <w:rFonts w:hint="eastAsia" w:ascii="仿宋" w:hAnsi="仿宋" w:eastAsia="仿宋"/>
                <w:bCs/>
                <w:sz w:val="24"/>
              </w:rPr>
              <w:t>2分；方案结构相对规范合理，履约目标分析能抓住重点，内容相对完整，对项目分析结合实际有一定的针对性，语言表述较准确清晰，可信度较高的得</w:t>
            </w:r>
            <w:r>
              <w:rPr>
                <w:rFonts w:ascii="仿宋" w:hAnsi="仿宋" w:eastAsia="仿宋"/>
                <w:bCs/>
                <w:sz w:val="24"/>
              </w:rPr>
              <w:t>5-</w:t>
            </w:r>
            <w:r>
              <w:rPr>
                <w:rFonts w:hint="eastAsia" w:ascii="仿宋" w:hAnsi="仿宋" w:eastAsia="仿宋"/>
                <w:bCs/>
                <w:sz w:val="24"/>
              </w:rPr>
              <w:t>9分；方案结构一般，履约目标分析不能抓住重点，内容缺失，对项目分析结合实际无针对性，语言表述混乱，可信度低的得</w:t>
            </w:r>
            <w:r>
              <w:rPr>
                <w:rFonts w:ascii="仿宋" w:hAnsi="仿宋" w:eastAsia="仿宋"/>
                <w:bCs/>
                <w:sz w:val="24"/>
              </w:rPr>
              <w:t>1-4</w:t>
            </w:r>
            <w:r>
              <w:rPr>
                <w:rFonts w:hint="eastAsia" w:ascii="仿宋" w:hAnsi="仿宋" w:eastAsia="仿宋"/>
                <w:bCs/>
                <w:sz w:val="24"/>
              </w:rPr>
              <w:t>分；</w:t>
            </w:r>
            <w:r>
              <w:rPr>
                <w:rFonts w:hint="eastAsia" w:ascii="仿宋" w:hAnsi="仿宋" w:eastAsia="仿宋"/>
                <w:sz w:val="24"/>
              </w:rPr>
              <w:t>不提供不得分。</w:t>
            </w:r>
          </w:p>
          <w:p>
            <w:pPr>
              <w:tabs>
                <w:tab w:val="left" w:pos="540"/>
                <w:tab w:val="left" w:pos="6285"/>
              </w:tabs>
              <w:spacing w:line="276" w:lineRule="auto"/>
              <w:jc w:val="left"/>
              <w:rPr>
                <w:rFonts w:ascii="仿宋" w:hAnsi="仿宋" w:eastAsia="仿宋"/>
                <w:b/>
                <w:sz w:val="24"/>
              </w:rPr>
            </w:pPr>
            <w:r>
              <w:rPr>
                <w:rFonts w:hint="eastAsia" w:ascii="仿宋" w:hAnsi="仿宋" w:eastAsia="仿宋"/>
                <w:b/>
                <w:sz w:val="24"/>
              </w:rPr>
              <w:t>注：比选小组根据各参评机构参评资料中所附资料的全面性、可行性、详尽程度进行综合比较后，赋予相应分值。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1" w:hRule="atLeast"/>
          <w:jc w:val="center"/>
        </w:trPr>
        <w:tc>
          <w:tcPr>
            <w:tcW w:w="300" w:type="pct"/>
            <w:vMerge w:val="continue"/>
            <w:vAlign w:val="center"/>
          </w:tcPr>
          <w:p>
            <w:pPr>
              <w:tabs>
                <w:tab w:val="left" w:pos="540"/>
                <w:tab w:val="left" w:pos="6285"/>
              </w:tabs>
              <w:spacing w:line="440" w:lineRule="exact"/>
              <w:jc w:val="center"/>
              <w:rPr>
                <w:rFonts w:ascii="仿宋" w:hAnsi="仿宋" w:eastAsia="仿宋"/>
                <w:bCs/>
                <w:sz w:val="24"/>
              </w:rPr>
            </w:pPr>
          </w:p>
        </w:tc>
        <w:tc>
          <w:tcPr>
            <w:tcW w:w="300" w:type="pc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内控管理制度</w:t>
            </w:r>
          </w:p>
        </w:tc>
        <w:tc>
          <w:tcPr>
            <w:tcW w:w="210" w:type="pc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8分</w:t>
            </w:r>
          </w:p>
        </w:tc>
        <w:tc>
          <w:tcPr>
            <w:tcW w:w="4187" w:type="pct"/>
            <w:vAlign w:val="center"/>
          </w:tcPr>
          <w:p>
            <w:pPr>
              <w:spacing w:line="276" w:lineRule="auto"/>
              <w:rPr>
                <w:rFonts w:ascii="仿宋" w:hAnsi="仿宋" w:eastAsia="仿宋"/>
                <w:sz w:val="24"/>
              </w:rPr>
            </w:pPr>
            <w:r>
              <w:rPr>
                <w:rFonts w:hint="eastAsia" w:ascii="仿宋" w:hAnsi="仿宋" w:eastAsia="仿宋"/>
                <w:sz w:val="24"/>
              </w:rPr>
              <w:t>参评机构需提供的内部管理制度，包括但不限于：（1）人事管理制度；（2）内部行政管理；（3）业务管理；（4）风险控制；（5）保密制度等。内部管理制度结构严谨，针对性强，内容科学完整翔实得</w:t>
            </w:r>
            <w:r>
              <w:rPr>
                <w:rFonts w:ascii="仿宋" w:hAnsi="仿宋" w:eastAsia="仿宋"/>
                <w:sz w:val="24"/>
              </w:rPr>
              <w:t>6</w:t>
            </w:r>
            <w:r>
              <w:rPr>
                <w:rFonts w:hint="eastAsia" w:ascii="仿宋" w:hAnsi="仿宋" w:eastAsia="仿宋"/>
                <w:sz w:val="24"/>
              </w:rPr>
              <w:t>-</w:t>
            </w:r>
            <w:r>
              <w:rPr>
                <w:rFonts w:ascii="仿宋" w:hAnsi="仿宋" w:eastAsia="仿宋"/>
                <w:sz w:val="24"/>
              </w:rPr>
              <w:t>8</w:t>
            </w:r>
            <w:r>
              <w:rPr>
                <w:rFonts w:hint="eastAsia" w:ascii="仿宋" w:hAnsi="仿宋" w:eastAsia="仿宋"/>
                <w:sz w:val="24"/>
              </w:rPr>
              <w:t>分；内部管理制度相对规范合理，有一定的针对性，内容较完整得</w:t>
            </w:r>
            <w:r>
              <w:rPr>
                <w:rFonts w:ascii="仿宋" w:hAnsi="仿宋" w:eastAsia="仿宋"/>
                <w:sz w:val="24"/>
              </w:rPr>
              <w:t>3</w:t>
            </w:r>
            <w:r>
              <w:rPr>
                <w:rFonts w:hint="eastAsia" w:ascii="仿宋" w:hAnsi="仿宋" w:eastAsia="仿宋"/>
                <w:sz w:val="24"/>
              </w:rPr>
              <w:t>-</w:t>
            </w:r>
            <w:r>
              <w:rPr>
                <w:rFonts w:ascii="仿宋" w:hAnsi="仿宋" w:eastAsia="仿宋"/>
                <w:sz w:val="24"/>
              </w:rPr>
              <w:t>5</w:t>
            </w:r>
            <w:r>
              <w:rPr>
                <w:rFonts w:hint="eastAsia" w:ascii="仿宋" w:hAnsi="仿宋" w:eastAsia="仿宋"/>
                <w:sz w:val="24"/>
              </w:rPr>
              <w:t>分；有内部管理制度，但内容笼统，针对性差，内容不完整得</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分；不提供不得分。</w:t>
            </w:r>
          </w:p>
          <w:p>
            <w:pPr>
              <w:spacing w:line="276" w:lineRule="auto"/>
              <w:rPr>
                <w:rFonts w:ascii="仿宋" w:hAnsi="仿宋" w:eastAsia="仿宋"/>
                <w:b/>
                <w:sz w:val="24"/>
              </w:rPr>
            </w:pPr>
            <w:r>
              <w:rPr>
                <w:rFonts w:hint="eastAsia" w:ascii="仿宋" w:hAnsi="仿宋" w:eastAsia="仿宋"/>
                <w:b/>
                <w:sz w:val="24"/>
              </w:rPr>
              <w:t>注：比选小组根据各代理机构参评资料中所附资料的全面性、可行性、详尽程度进行综合比较后，赋予相应分值。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300" w:type="pct"/>
            <w:vMerge w:val="restart"/>
            <w:vAlign w:val="center"/>
          </w:tcPr>
          <w:p>
            <w:pPr>
              <w:tabs>
                <w:tab w:val="left" w:pos="540"/>
                <w:tab w:val="left" w:pos="6285"/>
              </w:tabs>
              <w:spacing w:line="276" w:lineRule="auto"/>
              <w:jc w:val="center"/>
              <w:rPr>
                <w:rFonts w:ascii="仿宋" w:hAnsi="仿宋" w:eastAsia="仿宋"/>
                <w:bCs/>
                <w:sz w:val="24"/>
              </w:rPr>
            </w:pPr>
            <w:r>
              <w:rPr>
                <w:rFonts w:hint="eastAsia" w:ascii="仿宋" w:hAnsi="仿宋" w:eastAsia="仿宋"/>
                <w:bCs/>
                <w:sz w:val="24"/>
              </w:rPr>
              <w:t>客观评分项</w:t>
            </w:r>
          </w:p>
        </w:tc>
        <w:tc>
          <w:tcPr>
            <w:tcW w:w="300" w:type="pct"/>
            <w:vAlign w:val="center"/>
          </w:tcPr>
          <w:p>
            <w:pPr>
              <w:tabs>
                <w:tab w:val="left" w:pos="540"/>
                <w:tab w:val="left" w:pos="6285"/>
              </w:tabs>
              <w:spacing w:line="276" w:lineRule="auto"/>
              <w:jc w:val="center"/>
              <w:rPr>
                <w:rFonts w:ascii="仿宋" w:hAnsi="仿宋" w:eastAsia="仿宋"/>
                <w:bCs/>
                <w:sz w:val="24"/>
                <w:szCs w:val="24"/>
              </w:rPr>
            </w:pPr>
            <w:r>
              <w:rPr>
                <w:rFonts w:hint="eastAsia" w:ascii="仿宋" w:hAnsi="仿宋" w:eastAsia="仿宋"/>
                <w:bCs/>
                <w:sz w:val="24"/>
              </w:rPr>
              <w:t>代理服务报价</w:t>
            </w:r>
          </w:p>
        </w:tc>
        <w:tc>
          <w:tcPr>
            <w:tcW w:w="210" w:type="pc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40</w:t>
            </w:r>
          </w:p>
          <w:p>
            <w:pPr>
              <w:tabs>
                <w:tab w:val="left" w:pos="540"/>
                <w:tab w:val="left" w:pos="6285"/>
              </w:tabs>
              <w:spacing w:line="440" w:lineRule="exact"/>
              <w:jc w:val="center"/>
              <w:rPr>
                <w:rFonts w:ascii="仿宋" w:hAnsi="仿宋" w:eastAsia="仿宋"/>
                <w:bCs/>
                <w:sz w:val="24"/>
                <w:szCs w:val="24"/>
              </w:rPr>
            </w:pPr>
            <w:r>
              <w:rPr>
                <w:rFonts w:hint="eastAsia" w:ascii="仿宋" w:hAnsi="仿宋" w:eastAsia="仿宋"/>
                <w:bCs/>
                <w:sz w:val="24"/>
              </w:rPr>
              <w:t>分</w:t>
            </w:r>
          </w:p>
        </w:tc>
        <w:tc>
          <w:tcPr>
            <w:tcW w:w="4187" w:type="pct"/>
            <w:vAlign w:val="center"/>
          </w:tcPr>
          <w:p>
            <w:pPr>
              <w:tabs>
                <w:tab w:val="left" w:pos="540"/>
                <w:tab w:val="left" w:pos="6285"/>
              </w:tabs>
              <w:spacing w:line="276" w:lineRule="auto"/>
              <w:jc w:val="left"/>
              <w:rPr>
                <w:rFonts w:ascii="仿宋" w:hAnsi="仿宋" w:eastAsia="仿宋"/>
                <w:bCs/>
                <w:sz w:val="24"/>
                <w:szCs w:val="24"/>
              </w:rPr>
            </w:pPr>
            <w:r>
              <w:rPr>
                <w:rFonts w:hint="eastAsia" w:ascii="仿宋" w:hAnsi="仿宋" w:eastAsia="仿宋"/>
                <w:bCs/>
                <w:sz w:val="24"/>
              </w:rPr>
              <w:t>参照自治区发改委 财政厅 审计厅《关于印发＜宁夏回族自治区政务信息化项目和专项资金管理办法（暂行）＞的通知》（宁发改高技〔2</w:t>
            </w:r>
            <w:r>
              <w:rPr>
                <w:rFonts w:ascii="仿宋" w:hAnsi="仿宋" w:eastAsia="仿宋"/>
                <w:bCs/>
                <w:sz w:val="24"/>
              </w:rPr>
              <w:t>019</w:t>
            </w:r>
            <w:r>
              <w:rPr>
                <w:rFonts w:hint="eastAsia" w:ascii="仿宋" w:hAnsi="仿宋" w:eastAsia="仿宋"/>
                <w:bCs/>
                <w:sz w:val="24"/>
              </w:rPr>
              <w:t>〕4</w:t>
            </w:r>
            <w:r>
              <w:rPr>
                <w:rFonts w:ascii="仿宋" w:hAnsi="仿宋" w:eastAsia="仿宋"/>
                <w:bCs/>
                <w:sz w:val="24"/>
              </w:rPr>
              <w:t>44</w:t>
            </w:r>
            <w:r>
              <w:rPr>
                <w:rFonts w:hint="eastAsia" w:ascii="仿宋" w:hAnsi="仿宋" w:eastAsia="仿宋"/>
                <w:bCs/>
                <w:sz w:val="24"/>
              </w:rPr>
              <w:t>号)的收费标准，在拟定招标代理费（20万元）的基础上，每下浮1%，得1分，最高得4</w:t>
            </w:r>
            <w:r>
              <w:rPr>
                <w:rFonts w:ascii="仿宋" w:hAnsi="仿宋" w:eastAsia="仿宋"/>
                <w:bCs/>
                <w:sz w:val="24"/>
              </w:rPr>
              <w:t>0</w:t>
            </w:r>
            <w:r>
              <w:rPr>
                <w:rFonts w:hint="eastAsia" w:ascii="仿宋" w:hAnsi="仿宋" w:eastAsia="仿宋"/>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jc w:val="center"/>
        </w:trPr>
        <w:tc>
          <w:tcPr>
            <w:tcW w:w="300" w:type="pct"/>
            <w:vMerge w:val="continue"/>
            <w:vAlign w:val="center"/>
          </w:tcPr>
          <w:p>
            <w:pPr>
              <w:tabs>
                <w:tab w:val="left" w:pos="540"/>
                <w:tab w:val="left" w:pos="6285"/>
              </w:tabs>
              <w:spacing w:line="440" w:lineRule="exact"/>
              <w:jc w:val="center"/>
              <w:rPr>
                <w:rFonts w:ascii="仿宋" w:hAnsi="仿宋" w:eastAsia="仿宋"/>
                <w:bCs/>
                <w:sz w:val="24"/>
              </w:rPr>
            </w:pPr>
          </w:p>
        </w:tc>
        <w:tc>
          <w:tcPr>
            <w:tcW w:w="300" w:type="pct"/>
            <w:vMerge w:val="restar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服务实力</w:t>
            </w:r>
          </w:p>
        </w:tc>
        <w:tc>
          <w:tcPr>
            <w:tcW w:w="210" w:type="pc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10</w:t>
            </w:r>
          </w:p>
          <w:p>
            <w:pPr>
              <w:tabs>
                <w:tab w:val="left" w:pos="540"/>
                <w:tab w:val="left" w:pos="6285"/>
              </w:tabs>
              <w:spacing w:line="440" w:lineRule="exact"/>
              <w:jc w:val="center"/>
              <w:rPr>
                <w:rFonts w:ascii="仿宋" w:hAnsi="仿宋" w:eastAsia="仿宋"/>
                <w:bCs/>
                <w:sz w:val="24"/>
                <w:szCs w:val="24"/>
              </w:rPr>
            </w:pPr>
            <w:r>
              <w:rPr>
                <w:rFonts w:hint="eastAsia" w:ascii="仿宋" w:hAnsi="仿宋" w:eastAsia="仿宋"/>
                <w:bCs/>
                <w:sz w:val="24"/>
              </w:rPr>
              <w:t>分</w:t>
            </w:r>
          </w:p>
        </w:tc>
        <w:tc>
          <w:tcPr>
            <w:tcW w:w="4187" w:type="pct"/>
            <w:vAlign w:val="center"/>
          </w:tcPr>
          <w:p>
            <w:pPr>
              <w:tabs>
                <w:tab w:val="left" w:pos="540"/>
                <w:tab w:val="left" w:pos="6285"/>
              </w:tabs>
              <w:spacing w:line="276" w:lineRule="auto"/>
              <w:ind w:firstLine="2" w:firstLineChars="1"/>
              <w:rPr>
                <w:rFonts w:ascii="仿宋" w:hAnsi="仿宋" w:eastAsia="仿宋"/>
                <w:sz w:val="24"/>
              </w:rPr>
            </w:pPr>
            <w:r>
              <w:rPr>
                <w:rFonts w:hint="eastAsia" w:ascii="仿宋" w:hAnsi="仿宋" w:eastAsia="仿宋"/>
                <w:sz w:val="24"/>
              </w:rPr>
              <w:t>参评机构提供政府采购从业人员培训证明，每有1个得1分，最高的10分。提供上述从业人员2021年1-</w:t>
            </w:r>
            <w:r>
              <w:rPr>
                <w:rFonts w:ascii="仿宋" w:hAnsi="仿宋" w:eastAsia="仿宋"/>
                <w:sz w:val="24"/>
              </w:rPr>
              <w:t>6</w:t>
            </w:r>
            <w:r>
              <w:rPr>
                <w:rFonts w:hint="eastAsia" w:ascii="仿宋" w:hAnsi="仿宋" w:eastAsia="仿宋"/>
                <w:sz w:val="24"/>
              </w:rPr>
              <w:t>月连续缴纳职工社保证明。</w:t>
            </w:r>
          </w:p>
          <w:p>
            <w:pPr>
              <w:tabs>
                <w:tab w:val="left" w:pos="540"/>
                <w:tab w:val="left" w:pos="6285"/>
              </w:tabs>
              <w:spacing w:line="276" w:lineRule="auto"/>
              <w:jc w:val="left"/>
              <w:rPr>
                <w:rFonts w:ascii="仿宋" w:hAnsi="仿宋" w:eastAsia="仿宋"/>
                <w:bCs/>
                <w:sz w:val="24"/>
                <w:szCs w:val="24"/>
              </w:rPr>
            </w:pPr>
            <w:r>
              <w:rPr>
                <w:rFonts w:hint="eastAsia" w:ascii="仿宋" w:hAnsi="仿宋" w:eastAsia="仿宋"/>
                <w:b/>
                <w:bCs/>
                <w:sz w:val="24"/>
              </w:rPr>
              <w:t>注：无社保缴费的不得分。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1" w:hRule="atLeast"/>
          <w:jc w:val="center"/>
        </w:trPr>
        <w:tc>
          <w:tcPr>
            <w:tcW w:w="300" w:type="pct"/>
            <w:vMerge w:val="continue"/>
            <w:vAlign w:val="center"/>
          </w:tcPr>
          <w:p>
            <w:pPr>
              <w:tabs>
                <w:tab w:val="left" w:pos="540"/>
                <w:tab w:val="left" w:pos="6285"/>
              </w:tabs>
              <w:spacing w:line="440" w:lineRule="exact"/>
              <w:jc w:val="center"/>
              <w:rPr>
                <w:rFonts w:ascii="仿宋" w:hAnsi="仿宋" w:eastAsia="仿宋"/>
                <w:bCs/>
                <w:sz w:val="24"/>
              </w:rPr>
            </w:pPr>
          </w:p>
        </w:tc>
        <w:tc>
          <w:tcPr>
            <w:tcW w:w="300" w:type="pct"/>
            <w:vMerge w:val="continue"/>
            <w:vAlign w:val="center"/>
          </w:tcPr>
          <w:p>
            <w:pPr>
              <w:tabs>
                <w:tab w:val="left" w:pos="540"/>
                <w:tab w:val="left" w:pos="6285"/>
              </w:tabs>
              <w:spacing w:line="440" w:lineRule="exact"/>
              <w:jc w:val="center"/>
              <w:rPr>
                <w:rFonts w:ascii="仿宋" w:hAnsi="仿宋" w:eastAsia="仿宋"/>
                <w:bCs/>
                <w:sz w:val="24"/>
              </w:rPr>
            </w:pPr>
          </w:p>
        </w:tc>
        <w:tc>
          <w:tcPr>
            <w:tcW w:w="210" w:type="pct"/>
            <w:vAlign w:val="center"/>
          </w:tcPr>
          <w:p>
            <w:pPr>
              <w:tabs>
                <w:tab w:val="left" w:pos="540"/>
                <w:tab w:val="left" w:pos="6285"/>
              </w:tabs>
              <w:spacing w:line="440" w:lineRule="exact"/>
              <w:jc w:val="center"/>
              <w:rPr>
                <w:rFonts w:ascii="仿宋" w:hAnsi="仿宋" w:eastAsia="仿宋"/>
                <w:bCs/>
                <w:sz w:val="24"/>
              </w:rPr>
            </w:pPr>
            <w:r>
              <w:rPr>
                <w:rFonts w:ascii="仿宋" w:hAnsi="仿宋" w:eastAsia="仿宋"/>
                <w:bCs/>
                <w:sz w:val="24"/>
              </w:rPr>
              <w:t>1</w:t>
            </w:r>
            <w:r>
              <w:rPr>
                <w:rFonts w:hint="eastAsia" w:ascii="仿宋" w:hAnsi="仿宋" w:eastAsia="仿宋"/>
                <w:bCs/>
                <w:sz w:val="24"/>
              </w:rPr>
              <w:t>0</w:t>
            </w:r>
          </w:p>
          <w:p>
            <w:pPr>
              <w:tabs>
                <w:tab w:val="left" w:pos="540"/>
                <w:tab w:val="left" w:pos="6285"/>
              </w:tabs>
              <w:spacing w:line="440" w:lineRule="exact"/>
              <w:jc w:val="center"/>
              <w:rPr>
                <w:rFonts w:ascii="仿宋" w:hAnsi="仿宋" w:eastAsia="仿宋"/>
                <w:bCs/>
                <w:sz w:val="24"/>
                <w:szCs w:val="24"/>
              </w:rPr>
            </w:pPr>
            <w:r>
              <w:rPr>
                <w:rFonts w:hint="eastAsia" w:ascii="仿宋" w:hAnsi="仿宋" w:eastAsia="仿宋"/>
                <w:bCs/>
                <w:sz w:val="24"/>
              </w:rPr>
              <w:t>分</w:t>
            </w:r>
          </w:p>
        </w:tc>
        <w:tc>
          <w:tcPr>
            <w:tcW w:w="4187" w:type="pct"/>
            <w:vAlign w:val="center"/>
          </w:tcPr>
          <w:p>
            <w:pPr>
              <w:numPr>
                <w:ilvl w:val="0"/>
                <w:numId w:val="1"/>
              </w:numPr>
              <w:spacing w:line="276" w:lineRule="auto"/>
              <w:rPr>
                <w:rFonts w:ascii="仿宋" w:hAnsi="仿宋" w:eastAsia="仿宋"/>
                <w:sz w:val="24"/>
              </w:rPr>
            </w:pPr>
            <w:r>
              <w:rPr>
                <w:rFonts w:hint="eastAsia" w:ascii="仿宋" w:hAnsi="仿宋" w:eastAsia="仿宋"/>
                <w:color w:val="000000"/>
                <w:sz w:val="24"/>
              </w:rPr>
              <w:t>宁夏境内有</w:t>
            </w:r>
            <w:r>
              <w:rPr>
                <w:rFonts w:ascii="仿宋" w:hAnsi="仿宋" w:eastAsia="仿宋"/>
                <w:color w:val="000000"/>
                <w:sz w:val="24"/>
              </w:rPr>
              <w:t>固定办公场所</w:t>
            </w:r>
            <w:r>
              <w:rPr>
                <w:rFonts w:hint="eastAsia" w:ascii="仿宋" w:hAnsi="仿宋" w:eastAsia="仿宋"/>
                <w:color w:val="000000"/>
                <w:sz w:val="24"/>
              </w:rPr>
              <w:t>（含开标室、评标室、档案室等）。 500平米以上（含5</w:t>
            </w:r>
            <w:r>
              <w:rPr>
                <w:rFonts w:ascii="仿宋" w:hAnsi="仿宋" w:eastAsia="仿宋"/>
                <w:color w:val="000000"/>
                <w:sz w:val="24"/>
              </w:rPr>
              <w:t>00</w:t>
            </w:r>
            <w:r>
              <w:rPr>
                <w:rFonts w:hint="eastAsia" w:ascii="仿宋" w:hAnsi="仿宋" w:eastAsia="仿宋"/>
                <w:color w:val="000000"/>
                <w:sz w:val="24"/>
              </w:rPr>
              <w:t>平米）得6分；300-500平米4分；300平米以下得2分。</w:t>
            </w:r>
          </w:p>
          <w:p>
            <w:pPr>
              <w:numPr>
                <w:ilvl w:val="0"/>
                <w:numId w:val="1"/>
              </w:numPr>
              <w:spacing w:line="276" w:lineRule="auto"/>
              <w:rPr>
                <w:rFonts w:ascii="仿宋" w:hAnsi="仿宋" w:eastAsia="仿宋"/>
                <w:sz w:val="24"/>
              </w:rPr>
            </w:pPr>
            <w:r>
              <w:rPr>
                <w:rFonts w:hint="eastAsia" w:ascii="仿宋" w:hAnsi="仿宋" w:eastAsia="仿宋"/>
                <w:sz w:val="24"/>
              </w:rPr>
              <w:t>自有</w:t>
            </w:r>
            <w:r>
              <w:rPr>
                <w:rFonts w:ascii="仿宋" w:hAnsi="仿宋" w:eastAsia="仿宋"/>
                <w:sz w:val="24"/>
              </w:rPr>
              <w:t>开标室、评标室</w:t>
            </w:r>
            <w:r>
              <w:rPr>
                <w:rFonts w:hint="eastAsia" w:ascii="仿宋" w:hAnsi="仿宋" w:eastAsia="仿宋"/>
                <w:sz w:val="24"/>
              </w:rPr>
              <w:t>、档案室的得</w:t>
            </w:r>
            <w:r>
              <w:rPr>
                <w:rFonts w:ascii="仿宋" w:hAnsi="仿宋" w:eastAsia="仿宋"/>
                <w:sz w:val="24"/>
              </w:rPr>
              <w:t>2</w:t>
            </w:r>
            <w:r>
              <w:rPr>
                <w:rFonts w:hint="eastAsia" w:ascii="仿宋" w:hAnsi="仿宋" w:eastAsia="仿宋"/>
                <w:sz w:val="24"/>
              </w:rPr>
              <w:t>分</w:t>
            </w:r>
            <w:r>
              <w:rPr>
                <w:rFonts w:ascii="仿宋" w:hAnsi="仿宋" w:eastAsia="仿宋"/>
                <w:sz w:val="24"/>
              </w:rPr>
              <w:t>；</w:t>
            </w:r>
          </w:p>
          <w:p>
            <w:pPr>
              <w:spacing w:line="276" w:lineRule="auto"/>
              <w:rPr>
                <w:rFonts w:ascii="仿宋" w:hAnsi="仿宋" w:eastAsia="仿宋"/>
                <w:sz w:val="24"/>
              </w:rPr>
            </w:pPr>
            <w:r>
              <w:rPr>
                <w:rFonts w:hint="eastAsia" w:ascii="仿宋" w:hAnsi="仿宋" w:eastAsia="仿宋"/>
                <w:sz w:val="24"/>
              </w:rPr>
              <w:t>3.</w:t>
            </w:r>
            <w:r>
              <w:rPr>
                <w:rFonts w:ascii="仿宋" w:hAnsi="仿宋" w:eastAsia="仿宋"/>
                <w:sz w:val="24"/>
              </w:rPr>
              <w:t>音视频监控</w:t>
            </w:r>
            <w:r>
              <w:rPr>
                <w:rFonts w:hint="eastAsia" w:ascii="仿宋" w:hAnsi="仿宋" w:eastAsia="仿宋"/>
                <w:sz w:val="24"/>
              </w:rPr>
              <w:t>、</w:t>
            </w:r>
            <w:r>
              <w:rPr>
                <w:rFonts w:ascii="仿宋" w:hAnsi="仿宋" w:eastAsia="仿宋"/>
                <w:sz w:val="24"/>
              </w:rPr>
              <w:t>记录设备</w:t>
            </w:r>
            <w:r>
              <w:rPr>
                <w:rFonts w:hint="eastAsia" w:ascii="仿宋" w:hAnsi="仿宋" w:eastAsia="仿宋"/>
                <w:sz w:val="24"/>
              </w:rPr>
              <w:t>、</w:t>
            </w:r>
            <w:r>
              <w:rPr>
                <w:rFonts w:ascii="仿宋" w:hAnsi="仿宋" w:eastAsia="仿宋"/>
                <w:sz w:val="24"/>
              </w:rPr>
              <w:t>档案装订设备</w:t>
            </w:r>
            <w:r>
              <w:rPr>
                <w:rFonts w:hint="eastAsia" w:ascii="仿宋" w:hAnsi="仿宋" w:eastAsia="仿宋"/>
                <w:sz w:val="24"/>
              </w:rPr>
              <w:t>、</w:t>
            </w:r>
            <w:r>
              <w:rPr>
                <w:rFonts w:ascii="仿宋" w:hAnsi="仿宋" w:eastAsia="仿宋"/>
                <w:sz w:val="24"/>
              </w:rPr>
              <w:t>存储柜等设施配备齐全的得</w:t>
            </w:r>
            <w:r>
              <w:rPr>
                <w:rFonts w:hint="eastAsia" w:ascii="仿宋" w:hAnsi="仿宋" w:eastAsia="仿宋"/>
                <w:sz w:val="24"/>
              </w:rPr>
              <w:t>2分</w:t>
            </w:r>
            <w:r>
              <w:rPr>
                <w:rFonts w:ascii="仿宋" w:hAnsi="仿宋" w:eastAsia="仿宋"/>
                <w:sz w:val="24"/>
              </w:rPr>
              <w:t>；</w:t>
            </w:r>
          </w:p>
          <w:p>
            <w:pPr>
              <w:tabs>
                <w:tab w:val="left" w:pos="540"/>
                <w:tab w:val="left" w:pos="6285"/>
              </w:tabs>
              <w:spacing w:line="276" w:lineRule="auto"/>
              <w:jc w:val="left"/>
              <w:rPr>
                <w:rFonts w:ascii="仿宋" w:hAnsi="仿宋" w:eastAsia="仿宋"/>
                <w:bCs/>
                <w:sz w:val="24"/>
                <w:szCs w:val="24"/>
              </w:rPr>
            </w:pPr>
            <w:r>
              <w:rPr>
                <w:rFonts w:hint="eastAsia" w:ascii="仿宋" w:hAnsi="仿宋" w:eastAsia="仿宋"/>
                <w:sz w:val="24"/>
              </w:rPr>
              <w:t>注：</w:t>
            </w:r>
            <w:r>
              <w:rPr>
                <w:rFonts w:hint="eastAsia" w:ascii="仿宋" w:hAnsi="仿宋" w:eastAsia="仿宋"/>
                <w:b/>
                <w:bCs/>
                <w:sz w:val="24"/>
              </w:rPr>
              <w:t>比选资料中提供</w:t>
            </w:r>
            <w:r>
              <w:rPr>
                <w:rFonts w:ascii="仿宋" w:hAnsi="仿宋" w:eastAsia="仿宋"/>
                <w:b/>
                <w:bCs/>
                <w:sz w:val="24"/>
              </w:rPr>
              <w:t>房产证或房屋租赁合同</w:t>
            </w:r>
            <w:r>
              <w:rPr>
                <w:rFonts w:hint="eastAsia" w:ascii="仿宋" w:hAnsi="仿宋" w:eastAsia="仿宋"/>
                <w:b/>
                <w:bCs/>
                <w:sz w:val="24"/>
              </w:rPr>
              <w:t>（合同期限不得早于2</w:t>
            </w:r>
            <w:r>
              <w:rPr>
                <w:rFonts w:ascii="仿宋" w:hAnsi="仿宋" w:eastAsia="仿宋"/>
                <w:b/>
                <w:bCs/>
                <w:sz w:val="24"/>
              </w:rPr>
              <w:t>021</w:t>
            </w:r>
            <w:r>
              <w:rPr>
                <w:rFonts w:hint="eastAsia" w:ascii="仿宋" w:hAnsi="仿宋" w:eastAsia="仿宋"/>
                <w:b/>
                <w:bCs/>
                <w:sz w:val="24"/>
              </w:rPr>
              <w:t>年1</w:t>
            </w:r>
            <w:r>
              <w:rPr>
                <w:rFonts w:ascii="仿宋" w:hAnsi="仿宋" w:eastAsia="仿宋"/>
                <w:b/>
                <w:bCs/>
                <w:sz w:val="24"/>
              </w:rPr>
              <w:t>2</w:t>
            </w:r>
            <w:r>
              <w:rPr>
                <w:rFonts w:hint="eastAsia" w:ascii="仿宋" w:hAnsi="仿宋" w:eastAsia="仿宋"/>
                <w:b/>
                <w:bCs/>
                <w:sz w:val="24"/>
              </w:rPr>
              <w:t>月3</w:t>
            </w:r>
            <w:r>
              <w:rPr>
                <w:rFonts w:ascii="仿宋" w:hAnsi="仿宋" w:eastAsia="仿宋"/>
                <w:b/>
                <w:bCs/>
                <w:sz w:val="24"/>
              </w:rPr>
              <w:t>1</w:t>
            </w:r>
            <w:r>
              <w:rPr>
                <w:rFonts w:hint="eastAsia" w:ascii="仿宋" w:hAnsi="仿宋" w:eastAsia="仿宋"/>
                <w:b/>
                <w:bCs/>
                <w:sz w:val="24"/>
              </w:rPr>
              <w:t>日）</w:t>
            </w:r>
            <w:r>
              <w:rPr>
                <w:rFonts w:ascii="仿宋" w:hAnsi="仿宋" w:eastAsia="仿宋"/>
                <w:b/>
                <w:bCs/>
                <w:sz w:val="24"/>
              </w:rPr>
              <w:t>复印件、平面布局图，</w:t>
            </w:r>
            <w:r>
              <w:rPr>
                <w:rFonts w:hint="eastAsia" w:ascii="仿宋" w:hAnsi="仿宋" w:eastAsia="仿宋"/>
                <w:b/>
                <w:bCs/>
                <w:sz w:val="24"/>
              </w:rPr>
              <w:t>现场提交</w:t>
            </w:r>
            <w:r>
              <w:rPr>
                <w:rFonts w:ascii="仿宋" w:hAnsi="仿宋" w:eastAsia="仿宋"/>
                <w:b/>
                <w:bCs/>
                <w:sz w:val="24"/>
              </w:rPr>
              <w:t>房产证原件或房屋租赁合同原件</w:t>
            </w:r>
            <w:r>
              <w:rPr>
                <w:rFonts w:hint="eastAsia" w:ascii="仿宋" w:hAnsi="仿宋" w:eastAsia="仿宋"/>
                <w:b/>
                <w:bCs/>
                <w:sz w:val="24"/>
              </w:rPr>
              <w:t>，否则不得分</w:t>
            </w:r>
            <w:r>
              <w:rPr>
                <w:rFonts w:ascii="仿宋" w:hAnsi="仿宋" w:eastAsia="仿宋"/>
                <w:b/>
                <w:bCs/>
                <w:sz w:val="24"/>
              </w:rPr>
              <w:t>。</w:t>
            </w:r>
            <w:r>
              <w:rPr>
                <w:rFonts w:hint="eastAsia" w:ascii="仿宋" w:hAnsi="仿宋" w:eastAsia="仿宋"/>
                <w:b/>
                <w:bCs/>
                <w:sz w:val="24"/>
              </w:rPr>
              <w:t>中选后考察现场，若比选资料与实际情况不符，取消中选资格并按有关规定处理。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8" w:hRule="atLeast"/>
          <w:jc w:val="center"/>
        </w:trPr>
        <w:tc>
          <w:tcPr>
            <w:tcW w:w="300" w:type="pct"/>
            <w:vMerge w:val="continue"/>
            <w:vAlign w:val="center"/>
          </w:tcPr>
          <w:p>
            <w:pPr>
              <w:tabs>
                <w:tab w:val="left" w:pos="540"/>
                <w:tab w:val="left" w:pos="6285"/>
              </w:tabs>
              <w:spacing w:line="440" w:lineRule="exact"/>
              <w:jc w:val="center"/>
              <w:rPr>
                <w:rFonts w:ascii="仿宋" w:hAnsi="仿宋" w:eastAsia="仿宋"/>
                <w:bCs/>
                <w:sz w:val="24"/>
              </w:rPr>
            </w:pPr>
          </w:p>
        </w:tc>
        <w:tc>
          <w:tcPr>
            <w:tcW w:w="300" w:type="pct"/>
            <w:vAlign w:val="center"/>
          </w:tcPr>
          <w:p>
            <w:pPr>
              <w:tabs>
                <w:tab w:val="left" w:pos="540"/>
                <w:tab w:val="left" w:pos="6285"/>
              </w:tabs>
              <w:spacing w:line="440" w:lineRule="exact"/>
              <w:jc w:val="center"/>
              <w:rPr>
                <w:rFonts w:ascii="仿宋" w:hAnsi="仿宋" w:eastAsia="仿宋"/>
                <w:bCs/>
                <w:sz w:val="24"/>
              </w:rPr>
            </w:pPr>
            <w:r>
              <w:rPr>
                <w:rFonts w:hint="eastAsia" w:ascii="仿宋" w:hAnsi="仿宋" w:eastAsia="仿宋"/>
                <w:bCs/>
                <w:sz w:val="24"/>
              </w:rPr>
              <w:t>工作业绩</w:t>
            </w:r>
          </w:p>
        </w:tc>
        <w:tc>
          <w:tcPr>
            <w:tcW w:w="210" w:type="pct"/>
            <w:vAlign w:val="center"/>
          </w:tcPr>
          <w:p>
            <w:pPr>
              <w:tabs>
                <w:tab w:val="left" w:pos="540"/>
                <w:tab w:val="left" w:pos="6285"/>
              </w:tabs>
              <w:spacing w:line="440" w:lineRule="exact"/>
              <w:jc w:val="center"/>
              <w:rPr>
                <w:rFonts w:ascii="仿宋" w:hAnsi="仿宋" w:eastAsia="仿宋"/>
                <w:bCs/>
                <w:sz w:val="24"/>
                <w:szCs w:val="24"/>
              </w:rPr>
            </w:pPr>
            <w:r>
              <w:rPr>
                <w:rFonts w:hint="eastAsia" w:ascii="仿宋" w:hAnsi="仿宋" w:eastAsia="仿宋"/>
                <w:bCs/>
                <w:sz w:val="24"/>
              </w:rPr>
              <w:t>1</w:t>
            </w:r>
            <w:r>
              <w:rPr>
                <w:rFonts w:ascii="仿宋" w:hAnsi="仿宋" w:eastAsia="仿宋"/>
                <w:bCs/>
                <w:sz w:val="24"/>
              </w:rPr>
              <w:t>0</w:t>
            </w:r>
            <w:r>
              <w:rPr>
                <w:rFonts w:hint="eastAsia" w:ascii="仿宋" w:hAnsi="仿宋" w:eastAsia="仿宋"/>
                <w:bCs/>
                <w:sz w:val="24"/>
              </w:rPr>
              <w:t>分</w:t>
            </w:r>
          </w:p>
        </w:tc>
        <w:tc>
          <w:tcPr>
            <w:tcW w:w="4187" w:type="pct"/>
            <w:vAlign w:val="center"/>
          </w:tcPr>
          <w:p>
            <w:pPr>
              <w:numPr>
                <w:ilvl w:val="0"/>
                <w:numId w:val="2"/>
              </w:numPr>
              <w:tabs>
                <w:tab w:val="left" w:pos="540"/>
                <w:tab w:val="left" w:pos="6285"/>
              </w:tabs>
              <w:spacing w:line="276" w:lineRule="auto"/>
              <w:rPr>
                <w:rFonts w:ascii="仿宋" w:hAnsi="仿宋" w:eastAsia="仿宋"/>
                <w:sz w:val="24"/>
              </w:rPr>
            </w:pPr>
            <w:r>
              <w:rPr>
                <w:rFonts w:hint="eastAsia" w:ascii="仿宋" w:hAnsi="仿宋" w:eastAsia="仿宋"/>
                <w:sz w:val="24"/>
              </w:rPr>
              <w:t>提供自2018年8月至今在宁夏回族自治区境内政府主体单位300万（含）以上信息化设备或信息化软件服务的招标代理业绩的，每提供一份得1分，此项最多得8分；</w:t>
            </w:r>
          </w:p>
          <w:p>
            <w:pPr>
              <w:numPr>
                <w:ilvl w:val="0"/>
                <w:numId w:val="2"/>
              </w:numPr>
              <w:tabs>
                <w:tab w:val="left" w:pos="540"/>
                <w:tab w:val="left" w:pos="6285"/>
              </w:tabs>
              <w:spacing w:line="276" w:lineRule="auto"/>
              <w:rPr>
                <w:rFonts w:ascii="仿宋" w:hAnsi="仿宋" w:eastAsia="仿宋"/>
                <w:sz w:val="24"/>
              </w:rPr>
            </w:pPr>
            <w:r>
              <w:rPr>
                <w:rFonts w:hint="eastAsia" w:ascii="仿宋" w:hAnsi="仿宋" w:eastAsia="仿宋"/>
                <w:sz w:val="24"/>
              </w:rPr>
              <w:t>提供自2018年8月至今在宁夏区内政府主体单位1000万（含）以上招标代理业绩的，每提供一份得1分，此项最多得2分；</w:t>
            </w:r>
          </w:p>
          <w:p>
            <w:pPr>
              <w:spacing w:line="276" w:lineRule="auto"/>
              <w:rPr>
                <w:rFonts w:ascii="仿宋" w:hAnsi="仿宋" w:eastAsia="仿宋"/>
                <w:b/>
                <w:bCs/>
                <w:sz w:val="24"/>
              </w:rPr>
            </w:pPr>
            <w:r>
              <w:rPr>
                <w:rFonts w:hint="eastAsia" w:ascii="仿宋" w:hAnsi="仿宋" w:eastAsia="仿宋"/>
                <w:b/>
                <w:bCs/>
                <w:sz w:val="24"/>
              </w:rPr>
              <w:t>注：1.提供与宁夏区内政府主体单位签订的的服务合同（或协议）复印件加盖参评机构单位公章及对应的宁夏回族自治区政府采购项目计划申请表加盖参评机构单位公章，否则不得分。</w:t>
            </w:r>
          </w:p>
          <w:p>
            <w:pPr>
              <w:tabs>
                <w:tab w:val="left" w:pos="540"/>
                <w:tab w:val="left" w:pos="6285"/>
              </w:tabs>
              <w:spacing w:line="276" w:lineRule="auto"/>
              <w:jc w:val="left"/>
              <w:rPr>
                <w:rFonts w:ascii="仿宋" w:hAnsi="仿宋" w:eastAsia="仿宋"/>
                <w:bCs/>
                <w:sz w:val="24"/>
                <w:szCs w:val="24"/>
              </w:rPr>
            </w:pPr>
            <w:r>
              <w:rPr>
                <w:rFonts w:hint="eastAsia" w:ascii="仿宋" w:hAnsi="仿宋" w:eastAsia="仿宋"/>
                <w:b/>
                <w:bCs/>
                <w:sz w:val="24"/>
              </w:rPr>
              <w:t>2.以上业绩同一主体单位的只能计算一次得分，不能重复计算得分</w:t>
            </w:r>
          </w:p>
        </w:tc>
      </w:tr>
    </w:tbl>
    <w:p>
      <w:pPr>
        <w:widowControl/>
        <w:jc w:val="left"/>
        <w:rPr>
          <w:rFonts w:ascii="宋体" w:hAnsi="宋体" w:eastAsia="宋体"/>
          <w:sz w:val="28"/>
          <w:szCs w:val="28"/>
        </w:rPr>
      </w:pP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181271"/>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726D0"/>
    <w:multiLevelType w:val="singleLevel"/>
    <w:tmpl w:val="85D726D0"/>
    <w:lvl w:ilvl="0" w:tentative="0">
      <w:start w:val="1"/>
      <w:numFmt w:val="decimal"/>
      <w:lvlText w:val="%1."/>
      <w:lvlJc w:val="left"/>
      <w:pPr>
        <w:tabs>
          <w:tab w:val="left" w:pos="312"/>
        </w:tabs>
      </w:pPr>
    </w:lvl>
  </w:abstractNum>
  <w:abstractNum w:abstractNumId="1">
    <w:nsid w:val="6C0E8DB2"/>
    <w:multiLevelType w:val="singleLevel"/>
    <w:tmpl w:val="6C0E8DB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4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2021-08-31T03:50:57Z</dcterms:created>
  <dc:creator>Administrator</dc:creator>
  <cp:lastModifiedBy>Administrator</cp:lastModifiedBy>
  <dcterms:modified xsi:type="dcterms:W3CDTF">2021-08-31T03:51:00Z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E9AF17ADEB264D15B2A290098E74F4D0</vt:lpwstr>
  </property>
</Properties>
</file>