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32"/>
          <w:szCs w:val="32"/>
          <w:lang w:val="en-US" w:eastAsia="zh-CN" w:bidi="ar-SA"/>
        </w:rPr>
        <w:t>纳入各级医疗机构医保支付范围的诊疗项目</w:t>
      </w:r>
    </w:p>
    <w:bookmarkEnd w:id="0"/>
    <w:tbl>
      <w:tblPr>
        <w:tblStyle w:val="6"/>
        <w:tblW w:w="496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"/>
        <w:gridCol w:w="1001"/>
        <w:gridCol w:w="907"/>
        <w:gridCol w:w="587"/>
        <w:gridCol w:w="1158"/>
        <w:gridCol w:w="871"/>
        <w:gridCol w:w="712"/>
        <w:gridCol w:w="712"/>
        <w:gridCol w:w="712"/>
        <w:gridCol w:w="712"/>
        <w:gridCol w:w="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22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  <w:t>序号</w:t>
            </w:r>
          </w:p>
        </w:tc>
        <w:tc>
          <w:tcPr>
            <w:tcW w:w="591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eastAsia="zh-CN"/>
              </w:rPr>
              <w:t>国家</w:t>
            </w: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  <w:t>项目编码</w:t>
            </w:r>
          </w:p>
        </w:tc>
        <w:tc>
          <w:tcPr>
            <w:tcW w:w="536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eastAsia="zh-CN"/>
              </w:rPr>
              <w:t>国家项目名称</w:t>
            </w:r>
          </w:p>
        </w:tc>
        <w:tc>
          <w:tcPr>
            <w:tcW w:w="347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eastAsia="zh-CN"/>
              </w:rPr>
              <w:t>本地项目编码</w:t>
            </w:r>
          </w:p>
        </w:tc>
        <w:tc>
          <w:tcPr>
            <w:tcW w:w="683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514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</w:rPr>
              <w:t>项目内涵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  <w:t>除外内容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  <w:t>计价单位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  <w:t>说明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  <w:t>医保属性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color w:val="auto"/>
                <w:kern w:val="0"/>
                <w:sz w:val="21"/>
                <w:szCs w:val="21"/>
                <w:lang w:val="en-US" w:eastAsia="zh-CN"/>
              </w:rPr>
              <w:t>医保限定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222" w:type="pct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1</w:t>
            </w:r>
          </w:p>
        </w:tc>
        <w:tc>
          <w:tcPr>
            <w:tcW w:w="591" w:type="pct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002407000020000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536" w:type="pct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高强度超声聚焦刀治疗</w:t>
            </w:r>
          </w:p>
        </w:tc>
        <w:tc>
          <w:tcPr>
            <w:tcW w:w="347" w:type="pct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240700002</w:t>
            </w:r>
          </w:p>
        </w:tc>
        <w:tc>
          <w:tcPr>
            <w:tcW w:w="683" w:type="pct"/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高强度超声聚焦刀治疗</w:t>
            </w:r>
          </w:p>
        </w:tc>
        <w:tc>
          <w:tcPr>
            <w:tcW w:w="514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包括各种实体性恶性肿瘤治疗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次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是</w:t>
            </w:r>
          </w:p>
        </w:tc>
        <w:tc>
          <w:tcPr>
            <w:tcW w:w="420" w:type="pc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llMjU3ODI3YjU0OWU3MzNjNDYyMDRjYmYzNGM2ZjAifQ=="/>
  </w:docVars>
  <w:rsids>
    <w:rsidRoot w:val="1BF56590"/>
    <w:rsid w:val="10374837"/>
    <w:rsid w:val="1BF56590"/>
    <w:rsid w:val="22E802B3"/>
    <w:rsid w:val="26E9057C"/>
    <w:rsid w:val="788F0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qFormat/>
    <w:uiPriority w:val="0"/>
    <w:pPr>
      <w:suppressAutoHyphens/>
      <w:bidi w:val="0"/>
      <w:snapToGrid w:val="0"/>
      <w:jc w:val="left"/>
    </w:pPr>
    <w:rPr>
      <w:rFonts w:ascii="等线" w:hAnsi="等线" w:eastAsia="等线" w:cs="Times New Roman"/>
      <w:color w:val="auto"/>
      <w:sz w:val="18"/>
      <w:szCs w:val="18"/>
    </w:rPr>
  </w:style>
  <w:style w:type="paragraph" w:styleId="3">
    <w:name w:val="Body Text First Indent 2"/>
    <w:basedOn w:val="4"/>
    <w:next w:val="1"/>
    <w:qFormat/>
    <w:uiPriority w:val="0"/>
    <w:pPr>
      <w:ind w:firstLine="420" w:firstLineChars="200"/>
    </w:pPr>
  </w:style>
  <w:style w:type="paragraph" w:styleId="4">
    <w:name w:val="Body Text Indent"/>
    <w:basedOn w:val="1"/>
    <w:qFormat/>
    <w:uiPriority w:val="0"/>
    <w:pPr>
      <w:suppressAutoHyphens/>
      <w:bidi w:val="0"/>
      <w:ind w:firstLine="540"/>
    </w:pPr>
    <w:rPr>
      <w:rFonts w:ascii="等线" w:hAnsi="等线" w:eastAsia="等线" w:cs="Times New Roman"/>
      <w:color w:val="auto"/>
      <w:sz w:val="30"/>
      <w:szCs w:val="2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2024-02-26T03:15:00Z</dcterms:created>
  <dc:creator>Administrator</dc:creator>
  <cp:lastModifiedBy>Administrator</cp:lastModifiedBy>
  <dcterms:modified xsi:type="dcterms:W3CDTF">2024-02-26T03:31:09Z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0E6FDE9C3F9A4CBDB18591926B565370_13</vt:lpwstr>
  </property>
</Properties>
</file>