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E036F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both"/>
        <w:rPr>
          <w:rFonts w:hint="eastAsia" w:ascii="微软雅黑" w:hAnsi="微软雅黑" w:eastAsia="微软雅黑" w:cs="微软雅黑"/>
          <w:b w:val="0"/>
          <w:bCs w:val="0"/>
          <w:caps w:val="0"/>
          <w:color w:val="auto"/>
          <w:sz w:val="27"/>
          <w:szCs w:val="27"/>
          <w:vertAlign w:val="baseline"/>
        </w:rPr>
      </w:pPr>
      <w:r>
        <w:rPr>
          <w:rFonts w:hint="eastAsia" w:ascii="微软雅黑" w:hAnsi="微软雅黑" w:eastAsia="微软雅黑" w:cs="微软雅黑"/>
          <w:b w:val="0"/>
          <w:bCs w:val="0"/>
          <w:caps w:val="0"/>
          <w:color w:val="auto"/>
          <w:sz w:val="27"/>
          <w:szCs w:val="27"/>
          <w:vertAlign w:val="baseline"/>
        </w:rPr>
        <w:t>附件2</w:t>
      </w:r>
    </w:p>
    <w:p w14:paraId="209F680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方正大标宋简体" w:hAnsi="方正大标宋简体" w:eastAsia="方正大标宋简体" w:cs="方正大标宋简体"/>
          <w:b w:val="0"/>
          <w:bCs/>
          <w:caps w:val="0"/>
          <w:color w:val="auto"/>
          <w:sz w:val="32"/>
          <w:szCs w:val="32"/>
          <w:vertAlign w:val="baseline"/>
        </w:rPr>
      </w:pPr>
      <w:r>
        <w:rPr>
          <w:rStyle w:val="6"/>
          <w:rFonts w:hint="eastAsia" w:ascii="方正大标宋简体" w:hAnsi="方正大标宋简体" w:eastAsia="方正大标宋简体" w:cs="方正大标宋简体"/>
          <w:b w:val="0"/>
          <w:bCs/>
          <w:caps w:val="0"/>
          <w:color w:val="auto"/>
          <w:sz w:val="32"/>
          <w:szCs w:val="32"/>
          <w:vertAlign w:val="baseline"/>
        </w:rPr>
        <w:t>长期护理保险定点护理服务机构（机构护理）审核表</w:t>
      </w:r>
    </w:p>
    <w:p w14:paraId="5311EBF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机构名称：  </w:t>
      </w:r>
      <w:r>
        <w:rPr>
          <w:rFonts w:hint="eastAsia" w:ascii="仿宋_GB2312" w:hAnsi="仿宋_GB2312" w:eastAsia="仿宋_GB2312" w:cs="仿宋_GB2312"/>
          <w:b w:val="0"/>
          <w:bCs w:val="0"/>
          <w:caps w:val="0"/>
          <w:color w:val="auto"/>
          <w:sz w:val="24"/>
          <w:szCs w:val="24"/>
          <w:vertAlign w:val="baseline"/>
          <w:lang w:eastAsia="zh"/>
        </w:rPr>
        <w:t xml:space="preserve">      </w:t>
      </w:r>
      <w:r>
        <w:rPr>
          <w:rFonts w:hint="eastAsia" w:ascii="仿宋_GB2312" w:hAnsi="仿宋_GB2312" w:eastAsia="仿宋_GB2312" w:cs="仿宋_GB2312"/>
          <w:b w:val="0"/>
          <w:bCs w:val="0"/>
          <w:caps w:val="0"/>
          <w:color w:val="auto"/>
          <w:sz w:val="24"/>
          <w:szCs w:val="24"/>
          <w:vertAlign w:val="baseline"/>
        </w:rPr>
        <w:t xml:space="preserve">     地址：   </w:t>
      </w:r>
      <w:r>
        <w:rPr>
          <w:rFonts w:hint="eastAsia" w:ascii="仿宋_GB2312" w:hAnsi="仿宋_GB2312" w:eastAsia="仿宋_GB2312" w:cs="仿宋_GB2312"/>
          <w:b w:val="0"/>
          <w:bCs w:val="0"/>
          <w:caps w:val="0"/>
          <w:color w:val="auto"/>
          <w:sz w:val="24"/>
          <w:szCs w:val="24"/>
          <w:vertAlign w:val="baseline"/>
          <w:lang w:eastAsia="zh"/>
        </w:rPr>
        <w:t xml:space="preserve">        </w:t>
      </w:r>
      <w:r>
        <w:rPr>
          <w:rFonts w:hint="eastAsia" w:ascii="仿宋_GB2312" w:hAnsi="仿宋_GB2312" w:eastAsia="仿宋_GB2312" w:cs="仿宋_GB2312"/>
          <w:b w:val="0"/>
          <w:bCs w:val="0"/>
          <w:caps w:val="0"/>
          <w:color w:val="auto"/>
          <w:sz w:val="24"/>
          <w:szCs w:val="24"/>
          <w:vertAlign w:val="baseline"/>
        </w:rPr>
        <w:t xml:space="preserve">  </w:t>
      </w:r>
      <w:r>
        <w:rPr>
          <w:rFonts w:hint="eastAsia" w:ascii="仿宋_GB2312" w:hAnsi="仿宋_GB2312" w:eastAsia="仿宋_GB2312" w:cs="仿宋_GB2312"/>
          <w:b w:val="0"/>
          <w:bCs w:val="0"/>
          <w:caps w:val="0"/>
          <w:color w:val="auto"/>
          <w:sz w:val="24"/>
          <w:szCs w:val="24"/>
          <w:vertAlign w:val="baseline"/>
          <w:lang w:eastAsia="zh"/>
        </w:rPr>
        <w:t xml:space="preserve">  </w:t>
      </w:r>
      <w:r>
        <w:rPr>
          <w:rFonts w:hint="eastAsia" w:ascii="仿宋_GB2312" w:hAnsi="仿宋_GB2312" w:eastAsia="仿宋_GB2312" w:cs="仿宋_GB2312"/>
          <w:b w:val="0"/>
          <w:bCs w:val="0"/>
          <w:caps w:val="0"/>
          <w:color w:val="auto"/>
          <w:sz w:val="24"/>
          <w:szCs w:val="24"/>
          <w:vertAlign w:val="baseline"/>
        </w:rPr>
        <w:t xml:space="preserve">    审核时间： </w:t>
      </w:r>
      <w:r>
        <w:rPr>
          <w:rFonts w:hint="eastAsia" w:ascii="仿宋_GB2312" w:hAnsi="仿宋_GB2312" w:eastAsia="仿宋_GB2312" w:cs="仿宋_GB2312"/>
          <w:b w:val="0"/>
          <w:bCs w:val="0"/>
          <w:caps w:val="0"/>
          <w:color w:val="auto"/>
          <w:sz w:val="24"/>
          <w:szCs w:val="24"/>
          <w:vertAlign w:val="baseline"/>
          <w:lang w:eastAsia="zh"/>
        </w:rPr>
        <w:t xml:space="preserve">  </w:t>
      </w:r>
      <w:r>
        <w:rPr>
          <w:rFonts w:hint="eastAsia" w:ascii="仿宋_GB2312" w:hAnsi="仿宋_GB2312" w:eastAsia="仿宋_GB2312" w:cs="仿宋_GB2312"/>
          <w:b w:val="0"/>
          <w:bCs w:val="0"/>
          <w:caps w:val="0"/>
          <w:color w:val="auto"/>
          <w:sz w:val="24"/>
          <w:szCs w:val="24"/>
          <w:vertAlign w:val="baseline"/>
        </w:rPr>
        <w:t> 年 月  日    </w:t>
      </w:r>
    </w:p>
    <w:tbl>
      <w:tblPr>
        <w:tblStyle w:val="4"/>
        <w:tblW w:w="4972" w:type="pct"/>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481"/>
        <w:gridCol w:w="1169"/>
        <w:gridCol w:w="6075"/>
        <w:gridCol w:w="7"/>
        <w:gridCol w:w="1113"/>
      </w:tblGrid>
      <w:tr w14:paraId="3E5486C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70" w:hRule="atLeast"/>
        </w:trPr>
        <w:tc>
          <w:tcPr>
            <w:tcW w:w="272" w:type="pct"/>
            <w:tcBorders>
              <w:top w:val="single" w:color="auto" w:sz="6" w:space="0"/>
              <w:left w:val="single" w:color="auto" w:sz="6" w:space="0"/>
              <w:bottom w:val="single" w:color="auto" w:sz="6" w:space="0"/>
              <w:right w:val="single" w:color="auto" w:sz="6" w:space="0"/>
            </w:tcBorders>
            <w:noWrap w:val="0"/>
            <w:tcMar>
              <w:top w:w="0" w:type="dxa"/>
              <w:left w:w="60" w:type="dxa"/>
              <w:bottom w:w="0" w:type="dxa"/>
              <w:right w:w="60" w:type="dxa"/>
            </w:tcMar>
            <w:vAlign w:val="center"/>
          </w:tcPr>
          <w:p w14:paraId="5A6E850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autoSpaceDE/>
              <w:bidi w:val="0"/>
              <w:snapToGrid w:val="0"/>
              <w:spacing w:before="0" w:beforeAutospacing="0" w:after="0" w:afterAutospacing="0" w:line="360" w:lineRule="atLeast"/>
              <w:ind w:left="0" w:right="0" w:firstLine="0"/>
              <w:jc w:val="center"/>
              <w:rPr>
                <w:rFonts w:hint="eastAsia" w:ascii="黑体" w:hAnsi="宋体" w:eastAsia="黑体" w:cs="黑体"/>
                <w:b w:val="0"/>
                <w:bCs w:val="0"/>
                <w:caps w:val="0"/>
                <w:color w:val="auto"/>
                <w:sz w:val="24"/>
                <w:szCs w:val="24"/>
                <w:vertAlign w:val="baseline"/>
              </w:rPr>
            </w:pPr>
            <w:r>
              <w:rPr>
                <w:rFonts w:hint="eastAsia" w:ascii="黑体" w:hAnsi="宋体" w:eastAsia="黑体" w:cs="黑体"/>
                <w:b w:val="0"/>
                <w:bCs w:val="0"/>
                <w:caps w:val="0"/>
                <w:color w:val="auto"/>
                <w:sz w:val="24"/>
                <w:szCs w:val="24"/>
                <w:vertAlign w:val="baseline"/>
              </w:rPr>
              <w:t>序号</w:t>
            </w:r>
          </w:p>
        </w:tc>
        <w:tc>
          <w:tcPr>
            <w:tcW w:w="661" w:type="pct"/>
            <w:tcBorders>
              <w:top w:val="single" w:color="auto" w:sz="6" w:space="0"/>
              <w:left w:val="nil"/>
              <w:bottom w:val="single" w:color="auto" w:sz="6" w:space="0"/>
              <w:right w:val="single" w:color="auto" w:sz="6" w:space="0"/>
            </w:tcBorders>
            <w:noWrap w:val="0"/>
            <w:tcMar>
              <w:top w:w="0" w:type="dxa"/>
              <w:left w:w="60" w:type="dxa"/>
              <w:bottom w:w="0" w:type="dxa"/>
              <w:right w:w="60" w:type="dxa"/>
            </w:tcMar>
            <w:vAlign w:val="center"/>
          </w:tcPr>
          <w:p w14:paraId="5FC1615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autoSpaceDE/>
              <w:bidi w:val="0"/>
              <w:snapToGrid w:val="0"/>
              <w:spacing w:before="0" w:beforeAutospacing="0" w:after="0" w:afterAutospacing="0" w:line="360" w:lineRule="atLeast"/>
              <w:ind w:left="0" w:right="0" w:firstLine="0"/>
              <w:jc w:val="center"/>
              <w:rPr>
                <w:rFonts w:hint="eastAsia" w:ascii="黑体" w:hAnsi="宋体" w:eastAsia="黑体" w:cs="黑体"/>
                <w:b w:val="0"/>
                <w:bCs w:val="0"/>
                <w:caps w:val="0"/>
                <w:color w:val="auto"/>
                <w:sz w:val="24"/>
                <w:szCs w:val="24"/>
                <w:vertAlign w:val="baseline"/>
              </w:rPr>
            </w:pPr>
            <w:r>
              <w:rPr>
                <w:rFonts w:hint="eastAsia" w:ascii="黑体" w:hAnsi="宋体" w:eastAsia="黑体" w:cs="黑体"/>
                <w:b w:val="0"/>
                <w:bCs w:val="0"/>
                <w:caps w:val="0"/>
                <w:color w:val="auto"/>
                <w:sz w:val="24"/>
                <w:szCs w:val="24"/>
                <w:vertAlign w:val="baseline"/>
              </w:rPr>
              <w:t>审核指标</w:t>
            </w:r>
          </w:p>
        </w:tc>
        <w:tc>
          <w:tcPr>
            <w:tcW w:w="3433" w:type="pct"/>
            <w:tcBorders>
              <w:top w:val="single" w:color="auto" w:sz="6" w:space="0"/>
              <w:left w:val="nil"/>
              <w:bottom w:val="single" w:color="auto" w:sz="6" w:space="0"/>
              <w:right w:val="single" w:color="auto" w:sz="6" w:space="0"/>
            </w:tcBorders>
            <w:noWrap w:val="0"/>
            <w:tcMar>
              <w:top w:w="0" w:type="dxa"/>
              <w:left w:w="60" w:type="dxa"/>
              <w:bottom w:w="0" w:type="dxa"/>
              <w:right w:w="60" w:type="dxa"/>
            </w:tcMar>
            <w:vAlign w:val="center"/>
          </w:tcPr>
          <w:p w14:paraId="045DCC5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autoSpaceDE/>
              <w:bidi w:val="0"/>
              <w:snapToGrid w:val="0"/>
              <w:spacing w:before="0" w:beforeAutospacing="0" w:after="0" w:afterAutospacing="0" w:line="360" w:lineRule="atLeast"/>
              <w:ind w:left="0" w:right="0" w:firstLine="0"/>
              <w:jc w:val="center"/>
              <w:rPr>
                <w:rFonts w:hint="eastAsia" w:ascii="黑体" w:hAnsi="宋体" w:eastAsia="黑体" w:cs="黑体"/>
                <w:b w:val="0"/>
                <w:bCs w:val="0"/>
                <w:caps w:val="0"/>
                <w:color w:val="auto"/>
                <w:sz w:val="24"/>
                <w:szCs w:val="24"/>
                <w:vertAlign w:val="baseline"/>
              </w:rPr>
            </w:pPr>
            <w:r>
              <w:rPr>
                <w:rFonts w:hint="eastAsia" w:ascii="黑体" w:hAnsi="宋体" w:eastAsia="黑体" w:cs="黑体"/>
                <w:b w:val="0"/>
                <w:bCs w:val="0"/>
                <w:caps w:val="0"/>
                <w:color w:val="auto"/>
                <w:sz w:val="24"/>
                <w:szCs w:val="24"/>
                <w:vertAlign w:val="baseline"/>
              </w:rPr>
              <w:t>审核标准</w:t>
            </w:r>
          </w:p>
        </w:tc>
        <w:tc>
          <w:tcPr>
            <w:tcW w:w="632" w:type="pct"/>
            <w:gridSpan w:val="2"/>
            <w:tcBorders>
              <w:top w:val="single" w:color="auto" w:sz="6" w:space="0"/>
              <w:left w:val="nil"/>
              <w:bottom w:val="single" w:color="auto" w:sz="6" w:space="0"/>
              <w:right w:val="single" w:color="auto" w:sz="6" w:space="0"/>
            </w:tcBorders>
            <w:noWrap w:val="0"/>
            <w:vAlign w:val="center"/>
          </w:tcPr>
          <w:p w14:paraId="6352D3F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autoSpaceDE/>
              <w:bidi w:val="0"/>
              <w:snapToGrid w:val="0"/>
              <w:spacing w:before="0" w:beforeAutospacing="0" w:after="0" w:afterAutospacing="0" w:line="360" w:lineRule="atLeast"/>
              <w:ind w:left="0" w:right="0" w:firstLine="0"/>
              <w:jc w:val="center"/>
              <w:rPr>
                <w:rFonts w:hint="eastAsia" w:ascii="黑体" w:hAnsi="宋体" w:eastAsia="黑体" w:cs="黑体"/>
                <w:b w:val="0"/>
                <w:bCs w:val="0"/>
                <w:caps w:val="0"/>
                <w:color w:val="auto"/>
                <w:sz w:val="24"/>
                <w:szCs w:val="24"/>
                <w:vertAlign w:val="baseline"/>
              </w:rPr>
            </w:pPr>
            <w:r>
              <w:rPr>
                <w:rFonts w:hint="eastAsia" w:ascii="黑体" w:hAnsi="宋体" w:eastAsia="黑体" w:cs="黑体"/>
                <w:b w:val="0"/>
                <w:bCs w:val="0"/>
                <w:caps w:val="0"/>
                <w:color w:val="auto"/>
                <w:sz w:val="24"/>
                <w:szCs w:val="24"/>
                <w:vertAlign w:val="baseline"/>
              </w:rPr>
              <w:t>审核情况</w:t>
            </w:r>
          </w:p>
        </w:tc>
      </w:tr>
      <w:tr w14:paraId="21B2B71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364" w:hRule="atLeast"/>
        </w:trPr>
        <w:tc>
          <w:tcPr>
            <w:tcW w:w="272" w:type="pct"/>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14:paraId="5531083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36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1</w:t>
            </w:r>
          </w:p>
        </w:tc>
        <w:tc>
          <w:tcPr>
            <w:tcW w:w="661" w:type="pct"/>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4F15AE7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36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经营时间</w:t>
            </w:r>
          </w:p>
        </w:tc>
        <w:tc>
          <w:tcPr>
            <w:tcW w:w="3433" w:type="pct"/>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142132A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360" w:lineRule="atLeast"/>
              <w:ind w:left="0" w:right="0" w:firstLine="0"/>
              <w:jc w:val="both"/>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是否在固定营业场所正常营业（以执业许可证、设立许可证、备案时间、营业执照为准，计算到申请当日）3个月及以上，“否”即为不合格。</w:t>
            </w:r>
          </w:p>
        </w:tc>
        <w:tc>
          <w:tcPr>
            <w:tcW w:w="632" w:type="pct"/>
            <w:gridSpan w:val="2"/>
            <w:tcBorders>
              <w:top w:val="nil"/>
              <w:left w:val="nil"/>
              <w:bottom w:val="single" w:color="auto" w:sz="6" w:space="0"/>
              <w:right w:val="single" w:color="auto" w:sz="6" w:space="0"/>
            </w:tcBorders>
            <w:noWrap w:val="0"/>
            <w:vAlign w:val="center"/>
          </w:tcPr>
          <w:p w14:paraId="4ABCB081">
            <w:pPr>
              <w:keepNext w:val="0"/>
              <w:keepLines w:val="0"/>
              <w:pageBreakBefore w:val="0"/>
              <w:widowControl w:val="0"/>
              <w:suppressLineNumbers w:val="0"/>
              <w:kinsoku w:val="0"/>
              <w:wordWrap/>
              <w:overflowPunct/>
              <w:topLinePunct w:val="0"/>
              <w:autoSpaceDE/>
              <w:autoSpaceDN w:val="0"/>
              <w:bidi w:val="0"/>
              <w:adjustRightInd w:val="0"/>
              <w:snapToGrid w:val="0"/>
              <w:spacing w:before="0" w:beforeAutospacing="0" w:after="0" w:afterAutospacing="0" w:line="360" w:lineRule="atLeast"/>
              <w:ind w:left="0" w:right="0" w:firstLine="0"/>
              <w:jc w:val="left"/>
              <w:textAlignment w:val="baseline"/>
              <w:rPr>
                <w:rFonts w:hint="eastAsia" w:ascii="仿宋_GB2312" w:hAnsi="仿宋_GB2312" w:eastAsia="仿宋_GB2312" w:cs="仿宋_GB2312"/>
                <w:caps w:val="0"/>
                <w:color w:val="auto"/>
                <w:kern w:val="2"/>
                <w:sz w:val="24"/>
                <w:szCs w:val="24"/>
                <w:vertAlign w:val="baseline"/>
                <w:lang w:val="en-US" w:eastAsia="zh-CN" w:bidi="ar"/>
              </w:rPr>
            </w:pPr>
            <w:r>
              <w:rPr>
                <w:rFonts w:hint="eastAsia" w:ascii="仿宋_GB2312" w:hAnsi="仿宋_GB2312" w:eastAsia="仿宋_GB2312" w:cs="仿宋_GB2312"/>
                <w:b w:val="0"/>
                <w:bCs w:val="0"/>
                <w:caps w:val="0"/>
                <w:color w:val="auto"/>
                <w:kern w:val="2"/>
                <w:sz w:val="24"/>
                <w:szCs w:val="24"/>
                <w:vertAlign w:val="baseline"/>
                <w:lang w:val="en-US" w:eastAsia="zh-CN" w:bidi="ar"/>
              </w:rPr>
              <w:t>合  格</w:t>
            </w:r>
            <w:r>
              <w:rPr>
                <w:rFonts w:hint="default" w:ascii="仿宋_GB2312" w:hAnsi="仿宋_GB2312" w:eastAsia="仿宋_GB2312" w:cs="仿宋_GB2312"/>
                <w:b w:val="0"/>
                <w:bCs w:val="0"/>
                <w:caps w:val="0"/>
                <w:color w:val="auto"/>
                <w:kern w:val="2"/>
                <w:sz w:val="24"/>
                <w:szCs w:val="24"/>
                <w:vertAlign w:val="baseline"/>
                <w:lang w:val="en-US" w:eastAsia="zh-CN" w:bidi="ar"/>
              </w:rPr>
              <w:sym w:font="Wingdings 2" w:char="00A3"/>
            </w:r>
          </w:p>
          <w:p w14:paraId="0157A951">
            <w:pPr>
              <w:keepNext w:val="0"/>
              <w:keepLines w:val="0"/>
              <w:pageBreakBefore w:val="0"/>
              <w:widowControl/>
              <w:suppressLineNumbers w:val="0"/>
              <w:kinsoku/>
              <w:wordWrap/>
              <w:overflowPunct/>
              <w:topLinePunct w:val="0"/>
              <w:autoSpaceDE/>
              <w:autoSpaceDN w:val="0"/>
              <w:bidi w:val="0"/>
              <w:adjustRightInd/>
              <w:snapToGrid w:val="0"/>
              <w:spacing w:before="0" w:beforeAutospacing="0" w:after="0" w:afterAutospacing="0" w:line="360" w:lineRule="atLeast"/>
              <w:ind w:left="0" w:right="0" w:firstLine="0"/>
              <w:jc w:val="both"/>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kern w:val="2"/>
                <w:sz w:val="24"/>
                <w:szCs w:val="24"/>
                <w:vertAlign w:val="baseline"/>
                <w:lang w:val="en-US" w:eastAsia="zh-CN" w:bidi="ar"/>
              </w:rPr>
              <w:t>不合格</w:t>
            </w:r>
            <w:r>
              <w:rPr>
                <w:rFonts w:hint="default" w:ascii="仿宋_GB2312" w:hAnsi="仿宋_GB2312" w:eastAsia="仿宋_GB2312" w:cs="仿宋_GB2312"/>
                <w:b w:val="0"/>
                <w:bCs w:val="0"/>
                <w:caps w:val="0"/>
                <w:color w:val="auto"/>
                <w:kern w:val="2"/>
                <w:sz w:val="24"/>
                <w:szCs w:val="24"/>
                <w:vertAlign w:val="baseline"/>
                <w:lang w:val="en-US" w:eastAsia="zh-CN" w:bidi="ar"/>
              </w:rPr>
              <w:sym w:font="Wingdings 2" w:char="00A3"/>
            </w:r>
          </w:p>
        </w:tc>
      </w:tr>
      <w:tr w14:paraId="6335D63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58" w:hRule="atLeast"/>
        </w:trPr>
        <w:tc>
          <w:tcPr>
            <w:tcW w:w="272" w:type="pct"/>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14:paraId="0F754AB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36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2</w:t>
            </w:r>
          </w:p>
        </w:tc>
        <w:tc>
          <w:tcPr>
            <w:tcW w:w="661" w:type="pct"/>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6CDB499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36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法人资格</w:t>
            </w:r>
          </w:p>
        </w:tc>
        <w:tc>
          <w:tcPr>
            <w:tcW w:w="3433" w:type="pct"/>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789B4B2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360" w:lineRule="atLeast"/>
              <w:ind w:left="0" w:right="0" w:firstLine="0"/>
              <w:jc w:val="both"/>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是否具备法人资格。“否”即为不合格。</w:t>
            </w:r>
          </w:p>
        </w:tc>
        <w:tc>
          <w:tcPr>
            <w:tcW w:w="632" w:type="pct"/>
            <w:gridSpan w:val="2"/>
            <w:tcBorders>
              <w:top w:val="single" w:color="auto" w:sz="6" w:space="0"/>
              <w:left w:val="nil"/>
              <w:bottom w:val="single" w:color="auto" w:sz="6" w:space="0"/>
              <w:right w:val="single" w:color="auto" w:sz="6" w:space="0"/>
            </w:tcBorders>
            <w:noWrap w:val="0"/>
            <w:vAlign w:val="center"/>
          </w:tcPr>
          <w:p w14:paraId="317B3F03">
            <w:pPr>
              <w:keepNext w:val="0"/>
              <w:keepLines w:val="0"/>
              <w:pageBreakBefore w:val="0"/>
              <w:widowControl w:val="0"/>
              <w:suppressLineNumbers w:val="0"/>
              <w:kinsoku w:val="0"/>
              <w:wordWrap/>
              <w:overflowPunct/>
              <w:topLinePunct w:val="0"/>
              <w:autoSpaceDE/>
              <w:autoSpaceDN w:val="0"/>
              <w:bidi w:val="0"/>
              <w:adjustRightInd w:val="0"/>
              <w:snapToGrid w:val="0"/>
              <w:spacing w:before="0" w:beforeAutospacing="0" w:after="0" w:afterAutospacing="0" w:line="360" w:lineRule="atLeast"/>
              <w:ind w:left="0" w:right="0" w:firstLine="0"/>
              <w:jc w:val="left"/>
              <w:textAlignment w:val="baseline"/>
              <w:rPr>
                <w:rFonts w:hint="eastAsia" w:ascii="仿宋_GB2312" w:hAnsi="仿宋_GB2312" w:eastAsia="仿宋_GB2312" w:cs="仿宋_GB2312"/>
                <w:caps w:val="0"/>
                <w:color w:val="auto"/>
                <w:kern w:val="2"/>
                <w:sz w:val="24"/>
                <w:szCs w:val="24"/>
                <w:vertAlign w:val="baseline"/>
                <w:lang w:val="en-US" w:eastAsia="zh-CN" w:bidi="ar"/>
              </w:rPr>
            </w:pPr>
            <w:r>
              <w:rPr>
                <w:rFonts w:hint="eastAsia" w:ascii="仿宋_GB2312" w:hAnsi="仿宋_GB2312" w:eastAsia="仿宋_GB2312" w:cs="仿宋_GB2312"/>
                <w:b w:val="0"/>
                <w:bCs w:val="0"/>
                <w:caps w:val="0"/>
                <w:color w:val="auto"/>
                <w:kern w:val="2"/>
                <w:sz w:val="24"/>
                <w:szCs w:val="24"/>
                <w:vertAlign w:val="baseline"/>
                <w:lang w:val="en-US" w:eastAsia="zh-CN" w:bidi="ar"/>
              </w:rPr>
              <w:t>合  格</w:t>
            </w:r>
            <w:r>
              <w:rPr>
                <w:rFonts w:hint="default" w:ascii="仿宋_GB2312" w:hAnsi="仿宋_GB2312" w:eastAsia="仿宋_GB2312" w:cs="仿宋_GB2312"/>
                <w:b w:val="0"/>
                <w:bCs w:val="0"/>
                <w:caps w:val="0"/>
                <w:color w:val="auto"/>
                <w:kern w:val="2"/>
                <w:sz w:val="24"/>
                <w:szCs w:val="24"/>
                <w:vertAlign w:val="baseline"/>
                <w:lang w:val="en-US" w:eastAsia="zh-CN" w:bidi="ar"/>
              </w:rPr>
              <w:sym w:font="Wingdings 2" w:char="00A3"/>
            </w:r>
          </w:p>
          <w:p w14:paraId="7A70639F">
            <w:pPr>
              <w:keepNext w:val="0"/>
              <w:keepLines w:val="0"/>
              <w:pageBreakBefore w:val="0"/>
              <w:widowControl/>
              <w:suppressLineNumbers w:val="0"/>
              <w:kinsoku/>
              <w:wordWrap/>
              <w:overflowPunct/>
              <w:topLinePunct w:val="0"/>
              <w:autoSpaceDE/>
              <w:autoSpaceDN w:val="0"/>
              <w:bidi w:val="0"/>
              <w:adjustRightInd/>
              <w:snapToGrid w:val="0"/>
              <w:spacing w:before="0" w:beforeAutospacing="0" w:after="0" w:afterAutospacing="0" w:line="360" w:lineRule="atLeast"/>
              <w:ind w:left="0" w:right="0" w:firstLine="0"/>
              <w:jc w:val="both"/>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kern w:val="2"/>
                <w:sz w:val="24"/>
                <w:szCs w:val="24"/>
                <w:vertAlign w:val="baseline"/>
                <w:lang w:val="en-US" w:eastAsia="zh-CN" w:bidi="ar"/>
              </w:rPr>
              <w:t>不合格</w:t>
            </w:r>
            <w:r>
              <w:rPr>
                <w:rFonts w:hint="default" w:ascii="仿宋_GB2312" w:hAnsi="仿宋_GB2312" w:eastAsia="仿宋_GB2312" w:cs="仿宋_GB2312"/>
                <w:b w:val="0"/>
                <w:bCs w:val="0"/>
                <w:caps w:val="0"/>
                <w:color w:val="auto"/>
                <w:kern w:val="2"/>
                <w:sz w:val="24"/>
                <w:szCs w:val="24"/>
                <w:vertAlign w:val="baseline"/>
                <w:lang w:val="en-US" w:eastAsia="zh-CN" w:bidi="ar"/>
              </w:rPr>
              <w:sym w:font="Wingdings 2" w:char="00A3"/>
            </w:r>
          </w:p>
        </w:tc>
      </w:tr>
      <w:tr w14:paraId="53CAE83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519" w:hRule="atLeast"/>
        </w:trPr>
        <w:tc>
          <w:tcPr>
            <w:tcW w:w="272" w:type="pct"/>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14:paraId="2D9BEC8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36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3</w:t>
            </w:r>
          </w:p>
        </w:tc>
        <w:tc>
          <w:tcPr>
            <w:tcW w:w="661" w:type="pct"/>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004E17B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36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服务资质</w:t>
            </w:r>
          </w:p>
        </w:tc>
        <w:tc>
          <w:tcPr>
            <w:tcW w:w="3433" w:type="pct"/>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082E1D3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360" w:lineRule="atLeast"/>
              <w:ind w:left="0" w:right="0" w:firstLine="0"/>
              <w:jc w:val="both"/>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是否具备行业主管部门认可的服务资质，有提供每天24小时护理服务的能力，且符合</w:t>
            </w:r>
            <w:r>
              <w:rPr>
                <w:rFonts w:hint="eastAsia" w:ascii="仿宋_GB2312" w:hAnsi="仿宋_GB2312" w:eastAsia="仿宋_GB2312" w:cs="仿宋_GB2312"/>
                <w:caps w:val="0"/>
                <w:color w:val="auto"/>
                <w:sz w:val="24"/>
                <w:szCs w:val="24"/>
                <w:vertAlign w:val="baseline"/>
              </w:rPr>
              <w:t>《</w:t>
            </w:r>
            <w:r>
              <w:rPr>
                <w:rFonts w:hint="eastAsia" w:ascii="仿宋_GB2312" w:hAnsi="仿宋_GB2312" w:eastAsia="仿宋_GB2312" w:cs="仿宋_GB2312"/>
                <w:bCs/>
                <w:caps w:val="0"/>
                <w:color w:val="auto"/>
                <w:sz w:val="24"/>
                <w:szCs w:val="24"/>
                <w:vertAlign w:val="baseline"/>
              </w:rPr>
              <w:t>宁夏回族自治区长期护理保险护理服务机构定点管理</w:t>
            </w:r>
            <w:r>
              <w:rPr>
                <w:rFonts w:hint="eastAsia" w:ascii="仿宋_GB2312" w:hAnsi="仿宋_GB2312" w:eastAsia="仿宋_GB2312" w:cs="仿宋_GB2312"/>
                <w:caps w:val="0"/>
                <w:color w:val="auto"/>
                <w:sz w:val="24"/>
                <w:szCs w:val="24"/>
                <w:vertAlign w:val="baseline"/>
              </w:rPr>
              <w:t>实施细则》</w:t>
            </w:r>
            <w:r>
              <w:rPr>
                <w:rFonts w:hint="eastAsia" w:ascii="仿宋_GB2312" w:hAnsi="仿宋_GB2312" w:eastAsia="仿宋_GB2312" w:cs="仿宋_GB2312"/>
                <w:b w:val="0"/>
                <w:bCs w:val="0"/>
                <w:caps w:val="0"/>
                <w:color w:val="auto"/>
                <w:sz w:val="24"/>
                <w:szCs w:val="24"/>
                <w:vertAlign w:val="baseline"/>
              </w:rPr>
              <w:t>第七条条件之一。“否”即为不合格。</w:t>
            </w:r>
          </w:p>
        </w:tc>
        <w:tc>
          <w:tcPr>
            <w:tcW w:w="632" w:type="pct"/>
            <w:gridSpan w:val="2"/>
            <w:tcBorders>
              <w:top w:val="single" w:color="auto" w:sz="6" w:space="0"/>
              <w:left w:val="nil"/>
              <w:bottom w:val="single" w:color="auto" w:sz="6" w:space="0"/>
              <w:right w:val="single" w:color="auto" w:sz="6" w:space="0"/>
            </w:tcBorders>
            <w:noWrap w:val="0"/>
            <w:vAlign w:val="center"/>
          </w:tcPr>
          <w:p w14:paraId="04C2CC6B">
            <w:pPr>
              <w:keepNext w:val="0"/>
              <w:keepLines w:val="0"/>
              <w:pageBreakBefore w:val="0"/>
              <w:widowControl w:val="0"/>
              <w:suppressLineNumbers w:val="0"/>
              <w:kinsoku w:val="0"/>
              <w:wordWrap/>
              <w:overflowPunct/>
              <w:topLinePunct w:val="0"/>
              <w:autoSpaceDE/>
              <w:autoSpaceDN w:val="0"/>
              <w:bidi w:val="0"/>
              <w:adjustRightInd w:val="0"/>
              <w:snapToGrid w:val="0"/>
              <w:spacing w:before="0" w:beforeAutospacing="0" w:after="0" w:afterAutospacing="0" w:line="360" w:lineRule="atLeast"/>
              <w:ind w:left="0" w:right="0" w:firstLine="0"/>
              <w:jc w:val="left"/>
              <w:textAlignment w:val="baseline"/>
              <w:rPr>
                <w:rFonts w:hint="eastAsia" w:ascii="仿宋_GB2312" w:hAnsi="仿宋_GB2312" w:eastAsia="仿宋_GB2312" w:cs="仿宋_GB2312"/>
                <w:caps w:val="0"/>
                <w:color w:val="auto"/>
                <w:kern w:val="2"/>
                <w:sz w:val="24"/>
                <w:szCs w:val="24"/>
                <w:vertAlign w:val="baseline"/>
                <w:lang w:val="en-US" w:eastAsia="zh-CN" w:bidi="ar"/>
              </w:rPr>
            </w:pPr>
            <w:r>
              <w:rPr>
                <w:rFonts w:hint="eastAsia" w:ascii="仿宋_GB2312" w:hAnsi="仿宋_GB2312" w:eastAsia="仿宋_GB2312" w:cs="仿宋_GB2312"/>
                <w:b w:val="0"/>
                <w:bCs w:val="0"/>
                <w:caps w:val="0"/>
                <w:color w:val="auto"/>
                <w:kern w:val="2"/>
                <w:sz w:val="24"/>
                <w:szCs w:val="24"/>
                <w:vertAlign w:val="baseline"/>
                <w:lang w:val="en-US" w:eastAsia="zh-CN" w:bidi="ar"/>
              </w:rPr>
              <w:t>合  格</w:t>
            </w:r>
            <w:r>
              <w:rPr>
                <w:rFonts w:hint="default" w:ascii="仿宋_GB2312" w:hAnsi="仿宋_GB2312" w:eastAsia="仿宋_GB2312" w:cs="仿宋_GB2312"/>
                <w:b w:val="0"/>
                <w:bCs w:val="0"/>
                <w:caps w:val="0"/>
                <w:color w:val="auto"/>
                <w:kern w:val="2"/>
                <w:sz w:val="24"/>
                <w:szCs w:val="24"/>
                <w:vertAlign w:val="baseline"/>
                <w:lang w:val="en-US" w:eastAsia="zh-CN" w:bidi="ar"/>
              </w:rPr>
              <w:sym w:font="Wingdings 2" w:char="00A3"/>
            </w:r>
          </w:p>
          <w:p w14:paraId="3D52CF31">
            <w:pPr>
              <w:keepNext w:val="0"/>
              <w:keepLines w:val="0"/>
              <w:pageBreakBefore w:val="0"/>
              <w:widowControl/>
              <w:suppressLineNumbers w:val="0"/>
              <w:kinsoku/>
              <w:wordWrap/>
              <w:overflowPunct/>
              <w:topLinePunct w:val="0"/>
              <w:autoSpaceDE/>
              <w:autoSpaceDN w:val="0"/>
              <w:bidi w:val="0"/>
              <w:adjustRightInd/>
              <w:snapToGrid w:val="0"/>
              <w:spacing w:before="0" w:beforeAutospacing="0" w:after="0" w:afterAutospacing="0" w:line="360" w:lineRule="atLeast"/>
              <w:ind w:left="0" w:right="0" w:firstLine="0"/>
              <w:jc w:val="both"/>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kern w:val="2"/>
                <w:sz w:val="24"/>
                <w:szCs w:val="24"/>
                <w:vertAlign w:val="baseline"/>
                <w:lang w:val="en-US" w:eastAsia="zh-CN" w:bidi="ar"/>
              </w:rPr>
              <w:t>不合格</w:t>
            </w:r>
            <w:r>
              <w:rPr>
                <w:rFonts w:hint="default" w:ascii="仿宋_GB2312" w:hAnsi="仿宋_GB2312" w:eastAsia="仿宋_GB2312" w:cs="仿宋_GB2312"/>
                <w:b w:val="0"/>
                <w:bCs w:val="0"/>
                <w:caps w:val="0"/>
                <w:color w:val="auto"/>
                <w:kern w:val="2"/>
                <w:sz w:val="24"/>
                <w:szCs w:val="24"/>
                <w:vertAlign w:val="baseline"/>
                <w:lang w:val="en-US" w:eastAsia="zh-CN" w:bidi="ar"/>
              </w:rPr>
              <w:sym w:font="Wingdings 2" w:char="00A3"/>
            </w:r>
          </w:p>
        </w:tc>
      </w:tr>
      <w:tr w14:paraId="4D6B2D5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90" w:hRule="atLeast"/>
        </w:trPr>
        <w:tc>
          <w:tcPr>
            <w:tcW w:w="272" w:type="pct"/>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14:paraId="711E35A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36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4</w:t>
            </w:r>
          </w:p>
        </w:tc>
        <w:tc>
          <w:tcPr>
            <w:tcW w:w="661" w:type="pct"/>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16CFAA1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36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基础配置</w:t>
            </w:r>
          </w:p>
        </w:tc>
        <w:tc>
          <w:tcPr>
            <w:tcW w:w="3433" w:type="pct"/>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24ECC43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360" w:lineRule="atLeast"/>
              <w:ind w:left="0" w:right="0" w:firstLine="0"/>
              <w:jc w:val="both"/>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是否配备熟悉长期护理保险政策规定及要求的专（兼）职长护管理人员，服务能力在100（含）人以上的是否成立长护管理内设工作机构；是否具备使用全国统一的医保信息平台、与医保信息平台长期护理保险功能模块按接口标准进行对接等条件，并配备相应的专业技术人员。其中一项为“否”即为不合格。</w:t>
            </w:r>
          </w:p>
        </w:tc>
        <w:tc>
          <w:tcPr>
            <w:tcW w:w="632" w:type="pct"/>
            <w:gridSpan w:val="2"/>
            <w:tcBorders>
              <w:top w:val="single" w:color="auto" w:sz="6" w:space="0"/>
              <w:left w:val="nil"/>
              <w:bottom w:val="single" w:color="auto" w:sz="6" w:space="0"/>
              <w:right w:val="single" w:color="auto" w:sz="6" w:space="0"/>
            </w:tcBorders>
            <w:noWrap w:val="0"/>
            <w:vAlign w:val="center"/>
          </w:tcPr>
          <w:p w14:paraId="7A3573AF">
            <w:pPr>
              <w:keepNext w:val="0"/>
              <w:keepLines w:val="0"/>
              <w:pageBreakBefore w:val="0"/>
              <w:widowControl w:val="0"/>
              <w:suppressLineNumbers w:val="0"/>
              <w:kinsoku w:val="0"/>
              <w:wordWrap/>
              <w:overflowPunct/>
              <w:topLinePunct w:val="0"/>
              <w:autoSpaceDE/>
              <w:autoSpaceDN w:val="0"/>
              <w:bidi w:val="0"/>
              <w:adjustRightInd w:val="0"/>
              <w:snapToGrid w:val="0"/>
              <w:spacing w:before="0" w:beforeAutospacing="0" w:after="0" w:afterAutospacing="0" w:line="360" w:lineRule="atLeast"/>
              <w:ind w:left="0" w:right="0" w:firstLine="0"/>
              <w:jc w:val="left"/>
              <w:textAlignment w:val="baseline"/>
              <w:rPr>
                <w:rFonts w:hint="eastAsia" w:ascii="仿宋_GB2312" w:hAnsi="仿宋_GB2312" w:eastAsia="仿宋_GB2312" w:cs="仿宋_GB2312"/>
                <w:caps w:val="0"/>
                <w:color w:val="auto"/>
                <w:kern w:val="2"/>
                <w:sz w:val="24"/>
                <w:szCs w:val="24"/>
                <w:vertAlign w:val="baseline"/>
                <w:lang w:val="en-US" w:eastAsia="zh-CN" w:bidi="ar"/>
              </w:rPr>
            </w:pPr>
            <w:r>
              <w:rPr>
                <w:rFonts w:hint="eastAsia" w:ascii="仿宋_GB2312" w:hAnsi="仿宋_GB2312" w:eastAsia="仿宋_GB2312" w:cs="仿宋_GB2312"/>
                <w:b w:val="0"/>
                <w:bCs w:val="0"/>
                <w:caps w:val="0"/>
                <w:color w:val="auto"/>
                <w:kern w:val="2"/>
                <w:sz w:val="24"/>
                <w:szCs w:val="24"/>
                <w:vertAlign w:val="baseline"/>
                <w:lang w:val="en-US" w:eastAsia="zh-CN" w:bidi="ar"/>
              </w:rPr>
              <w:t>合  格</w:t>
            </w:r>
            <w:r>
              <w:rPr>
                <w:rFonts w:hint="default" w:ascii="仿宋_GB2312" w:hAnsi="仿宋_GB2312" w:eastAsia="仿宋_GB2312" w:cs="仿宋_GB2312"/>
                <w:b w:val="0"/>
                <w:bCs w:val="0"/>
                <w:caps w:val="0"/>
                <w:color w:val="auto"/>
                <w:kern w:val="2"/>
                <w:sz w:val="24"/>
                <w:szCs w:val="24"/>
                <w:vertAlign w:val="baseline"/>
                <w:lang w:val="en-US" w:eastAsia="zh-CN" w:bidi="ar"/>
              </w:rPr>
              <w:sym w:font="Wingdings 2" w:char="00A3"/>
            </w:r>
          </w:p>
          <w:p w14:paraId="56835694">
            <w:pPr>
              <w:keepNext w:val="0"/>
              <w:keepLines w:val="0"/>
              <w:pageBreakBefore w:val="0"/>
              <w:widowControl/>
              <w:suppressLineNumbers w:val="0"/>
              <w:kinsoku/>
              <w:wordWrap/>
              <w:overflowPunct/>
              <w:topLinePunct w:val="0"/>
              <w:autoSpaceDE/>
              <w:autoSpaceDN w:val="0"/>
              <w:bidi w:val="0"/>
              <w:adjustRightInd/>
              <w:snapToGrid w:val="0"/>
              <w:spacing w:before="0" w:beforeAutospacing="0" w:after="0" w:afterAutospacing="0" w:line="360" w:lineRule="atLeast"/>
              <w:ind w:left="0" w:right="0" w:firstLine="0"/>
              <w:jc w:val="both"/>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kern w:val="2"/>
                <w:sz w:val="24"/>
                <w:szCs w:val="24"/>
                <w:vertAlign w:val="baseline"/>
                <w:lang w:val="en-US" w:eastAsia="zh-CN" w:bidi="ar"/>
              </w:rPr>
              <w:t>不合格</w:t>
            </w:r>
            <w:r>
              <w:rPr>
                <w:rFonts w:hint="default" w:ascii="仿宋_GB2312" w:hAnsi="仿宋_GB2312" w:eastAsia="仿宋_GB2312" w:cs="仿宋_GB2312"/>
                <w:b w:val="0"/>
                <w:bCs w:val="0"/>
                <w:caps w:val="0"/>
                <w:color w:val="auto"/>
                <w:kern w:val="2"/>
                <w:sz w:val="24"/>
                <w:szCs w:val="24"/>
                <w:vertAlign w:val="baseline"/>
                <w:lang w:val="en-US" w:eastAsia="zh-CN" w:bidi="ar"/>
              </w:rPr>
              <w:sym w:font="Wingdings 2" w:char="00A3"/>
            </w:r>
          </w:p>
        </w:tc>
      </w:tr>
      <w:tr w14:paraId="6A9A4AB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178" w:hRule="atLeast"/>
        </w:trPr>
        <w:tc>
          <w:tcPr>
            <w:tcW w:w="272" w:type="pct"/>
            <w:tcBorders>
              <w:top w:val="single" w:color="auto" w:sz="6" w:space="0"/>
              <w:left w:val="single" w:color="auto" w:sz="6" w:space="0"/>
              <w:bottom w:val="single" w:color="000000" w:sz="6" w:space="0"/>
              <w:right w:val="single" w:color="auto" w:sz="6" w:space="0"/>
            </w:tcBorders>
            <w:noWrap w:val="0"/>
            <w:tcMar>
              <w:top w:w="0" w:type="dxa"/>
              <w:left w:w="62" w:type="dxa"/>
              <w:bottom w:w="0" w:type="dxa"/>
              <w:right w:w="62" w:type="dxa"/>
            </w:tcMar>
            <w:vAlign w:val="center"/>
          </w:tcPr>
          <w:p w14:paraId="711F0BA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36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5</w:t>
            </w:r>
          </w:p>
        </w:tc>
        <w:tc>
          <w:tcPr>
            <w:tcW w:w="661" w:type="pct"/>
            <w:tcBorders>
              <w:top w:val="single" w:color="auto" w:sz="6" w:space="0"/>
              <w:left w:val="single" w:color="auto" w:sz="6" w:space="0"/>
              <w:bottom w:val="single" w:color="000000" w:sz="6" w:space="0"/>
              <w:right w:val="single" w:color="auto" w:sz="6" w:space="0"/>
            </w:tcBorders>
            <w:noWrap w:val="0"/>
            <w:tcMar>
              <w:top w:w="0" w:type="dxa"/>
              <w:left w:w="62" w:type="dxa"/>
              <w:bottom w:w="0" w:type="dxa"/>
              <w:right w:w="62" w:type="dxa"/>
            </w:tcMar>
            <w:vAlign w:val="center"/>
          </w:tcPr>
          <w:p w14:paraId="6A72D67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36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制度建设</w:t>
            </w:r>
          </w:p>
        </w:tc>
        <w:tc>
          <w:tcPr>
            <w:tcW w:w="3433" w:type="pct"/>
            <w:tcBorders>
              <w:top w:val="single" w:color="auto" w:sz="6" w:space="0"/>
              <w:left w:val="single" w:color="auto" w:sz="6" w:space="0"/>
              <w:bottom w:val="single" w:color="000000" w:sz="6" w:space="0"/>
              <w:right w:val="single" w:color="auto" w:sz="6" w:space="0"/>
            </w:tcBorders>
            <w:noWrap w:val="0"/>
            <w:tcMar>
              <w:top w:w="0" w:type="dxa"/>
              <w:left w:w="62" w:type="dxa"/>
              <w:bottom w:w="0" w:type="dxa"/>
              <w:right w:w="62" w:type="dxa"/>
            </w:tcMar>
            <w:vAlign w:val="center"/>
          </w:tcPr>
          <w:p w14:paraId="7F4AD83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360" w:lineRule="atLeast"/>
              <w:ind w:left="0" w:right="0" w:firstLine="0"/>
              <w:jc w:val="both"/>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是否建立与长护险管理相适应的内部管理制度，包括服务管理、财务管理、信息统计、内控管理、人员管理、档案管理等制度，“否”即为不合格。</w:t>
            </w:r>
          </w:p>
        </w:tc>
        <w:tc>
          <w:tcPr>
            <w:tcW w:w="632" w:type="pct"/>
            <w:gridSpan w:val="2"/>
            <w:tcBorders>
              <w:top w:val="single" w:color="auto" w:sz="6" w:space="0"/>
              <w:left w:val="nil"/>
              <w:bottom w:val="single" w:color="000000" w:sz="6" w:space="0"/>
              <w:right w:val="single" w:color="auto" w:sz="6" w:space="0"/>
            </w:tcBorders>
            <w:noWrap w:val="0"/>
            <w:vAlign w:val="center"/>
          </w:tcPr>
          <w:p w14:paraId="7EE399D2">
            <w:pPr>
              <w:keepNext w:val="0"/>
              <w:keepLines w:val="0"/>
              <w:pageBreakBefore w:val="0"/>
              <w:widowControl w:val="0"/>
              <w:suppressLineNumbers w:val="0"/>
              <w:kinsoku w:val="0"/>
              <w:wordWrap/>
              <w:overflowPunct/>
              <w:topLinePunct w:val="0"/>
              <w:autoSpaceDE/>
              <w:autoSpaceDN w:val="0"/>
              <w:bidi w:val="0"/>
              <w:adjustRightInd w:val="0"/>
              <w:snapToGrid w:val="0"/>
              <w:spacing w:before="0" w:beforeAutospacing="0" w:after="0" w:afterAutospacing="0" w:line="360" w:lineRule="atLeast"/>
              <w:ind w:left="0" w:right="0" w:firstLine="0"/>
              <w:jc w:val="left"/>
              <w:textAlignment w:val="baseline"/>
              <w:rPr>
                <w:rFonts w:hint="eastAsia" w:ascii="仿宋_GB2312" w:hAnsi="仿宋_GB2312" w:eastAsia="仿宋_GB2312" w:cs="仿宋_GB2312"/>
                <w:caps w:val="0"/>
                <w:color w:val="auto"/>
                <w:kern w:val="2"/>
                <w:sz w:val="24"/>
                <w:szCs w:val="24"/>
                <w:vertAlign w:val="baseline"/>
                <w:lang w:val="en-US" w:eastAsia="zh-CN" w:bidi="ar"/>
              </w:rPr>
            </w:pPr>
            <w:r>
              <w:rPr>
                <w:rFonts w:hint="eastAsia" w:ascii="仿宋_GB2312" w:hAnsi="仿宋_GB2312" w:eastAsia="仿宋_GB2312" w:cs="仿宋_GB2312"/>
                <w:b w:val="0"/>
                <w:bCs w:val="0"/>
                <w:caps w:val="0"/>
                <w:color w:val="auto"/>
                <w:kern w:val="2"/>
                <w:sz w:val="24"/>
                <w:szCs w:val="24"/>
                <w:vertAlign w:val="baseline"/>
                <w:lang w:val="en-US" w:eastAsia="zh-CN" w:bidi="ar"/>
              </w:rPr>
              <w:t>合  格</w:t>
            </w:r>
            <w:r>
              <w:rPr>
                <w:rFonts w:hint="default" w:ascii="仿宋_GB2312" w:hAnsi="仿宋_GB2312" w:eastAsia="仿宋_GB2312" w:cs="仿宋_GB2312"/>
                <w:b w:val="0"/>
                <w:bCs w:val="0"/>
                <w:caps w:val="0"/>
                <w:color w:val="auto"/>
                <w:kern w:val="2"/>
                <w:sz w:val="24"/>
                <w:szCs w:val="24"/>
                <w:vertAlign w:val="baseline"/>
                <w:lang w:val="en-US" w:eastAsia="zh-CN" w:bidi="ar"/>
              </w:rPr>
              <w:sym w:font="Wingdings 2" w:char="00A3"/>
            </w:r>
          </w:p>
          <w:p w14:paraId="047719A1">
            <w:pPr>
              <w:keepNext w:val="0"/>
              <w:keepLines w:val="0"/>
              <w:pageBreakBefore w:val="0"/>
              <w:widowControl/>
              <w:suppressLineNumbers w:val="0"/>
              <w:kinsoku/>
              <w:wordWrap/>
              <w:overflowPunct/>
              <w:topLinePunct w:val="0"/>
              <w:autoSpaceDE/>
              <w:autoSpaceDN w:val="0"/>
              <w:bidi w:val="0"/>
              <w:adjustRightInd/>
              <w:snapToGrid w:val="0"/>
              <w:spacing w:before="0" w:beforeAutospacing="0" w:after="0" w:afterAutospacing="0" w:line="360" w:lineRule="atLeast"/>
              <w:ind w:left="0" w:right="0" w:firstLine="0"/>
              <w:jc w:val="both"/>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kern w:val="2"/>
                <w:sz w:val="24"/>
                <w:szCs w:val="24"/>
                <w:vertAlign w:val="baseline"/>
                <w:lang w:val="en-US" w:eastAsia="zh-CN" w:bidi="ar"/>
              </w:rPr>
              <w:t>不合格</w:t>
            </w:r>
            <w:r>
              <w:rPr>
                <w:rFonts w:hint="default" w:ascii="仿宋_GB2312" w:hAnsi="仿宋_GB2312" w:eastAsia="仿宋_GB2312" w:cs="仿宋_GB2312"/>
                <w:b w:val="0"/>
                <w:bCs w:val="0"/>
                <w:caps w:val="0"/>
                <w:color w:val="auto"/>
                <w:kern w:val="2"/>
                <w:sz w:val="24"/>
                <w:szCs w:val="24"/>
                <w:vertAlign w:val="baseline"/>
                <w:lang w:val="en-US" w:eastAsia="zh-CN" w:bidi="ar"/>
              </w:rPr>
              <w:sym w:font="Wingdings 2" w:char="00A3"/>
            </w:r>
          </w:p>
        </w:tc>
      </w:tr>
      <w:tr w14:paraId="56676BF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740" w:hRule="atLeast"/>
        </w:trPr>
        <w:tc>
          <w:tcPr>
            <w:tcW w:w="272" w:type="pct"/>
            <w:tcBorders>
              <w:top w:val="single" w:color="000000" w:sz="6" w:space="0"/>
              <w:left w:val="single" w:color="000000" w:sz="6" w:space="0"/>
              <w:bottom w:val="single" w:color="000000" w:sz="6" w:space="0"/>
              <w:right w:val="single" w:color="auto" w:sz="6" w:space="0"/>
            </w:tcBorders>
            <w:noWrap w:val="0"/>
            <w:tcMar>
              <w:top w:w="0" w:type="dxa"/>
              <w:left w:w="60" w:type="dxa"/>
              <w:bottom w:w="0" w:type="dxa"/>
              <w:right w:w="60" w:type="dxa"/>
            </w:tcMar>
            <w:vAlign w:val="center"/>
          </w:tcPr>
          <w:p w14:paraId="6D22F95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36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6</w:t>
            </w:r>
          </w:p>
        </w:tc>
        <w:tc>
          <w:tcPr>
            <w:tcW w:w="661" w:type="pct"/>
            <w:tcBorders>
              <w:top w:val="single" w:color="000000" w:sz="6" w:space="0"/>
              <w:left w:val="nil"/>
              <w:bottom w:val="single" w:color="000000" w:sz="6" w:space="0"/>
              <w:right w:val="single" w:color="auto" w:sz="6" w:space="0"/>
            </w:tcBorders>
            <w:noWrap w:val="0"/>
            <w:tcMar>
              <w:top w:w="0" w:type="dxa"/>
              <w:left w:w="60" w:type="dxa"/>
              <w:bottom w:w="0" w:type="dxa"/>
              <w:right w:w="60" w:type="dxa"/>
            </w:tcMar>
            <w:vAlign w:val="center"/>
          </w:tcPr>
          <w:p w14:paraId="4AEF670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36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规范经营</w:t>
            </w:r>
          </w:p>
        </w:tc>
        <w:tc>
          <w:tcPr>
            <w:tcW w:w="3433" w:type="pct"/>
            <w:tcBorders>
              <w:top w:val="single" w:color="000000" w:sz="6" w:space="0"/>
              <w:left w:val="nil"/>
              <w:bottom w:val="single" w:color="000000" w:sz="6" w:space="0"/>
              <w:right w:val="single" w:color="auto" w:sz="6" w:space="0"/>
            </w:tcBorders>
            <w:noWrap w:val="0"/>
            <w:tcMar>
              <w:top w:w="0" w:type="dxa"/>
              <w:left w:w="60" w:type="dxa"/>
              <w:bottom w:w="0" w:type="dxa"/>
              <w:right w:w="60" w:type="dxa"/>
            </w:tcMar>
            <w:vAlign w:val="center"/>
          </w:tcPr>
          <w:p w14:paraId="07DBDF4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360" w:lineRule="atLeast"/>
              <w:ind w:left="0" w:right="0" w:firstLine="0"/>
              <w:jc w:val="both"/>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是否遵守国家、省、市有关法律法规和政策规定及服务标准和规范；是否规范经营，近二年内（不足一年的自开业以来）未因医疗服务、养老服务等行为而受到相关行政部门处罚，其中一项为“否”即为不合格。</w:t>
            </w:r>
          </w:p>
        </w:tc>
        <w:tc>
          <w:tcPr>
            <w:tcW w:w="632" w:type="pct"/>
            <w:gridSpan w:val="2"/>
            <w:tcBorders>
              <w:top w:val="single" w:color="000000" w:sz="6" w:space="0"/>
              <w:left w:val="nil"/>
              <w:bottom w:val="single" w:color="000000" w:sz="6" w:space="0"/>
              <w:right w:val="single" w:color="000000" w:sz="6" w:space="0"/>
            </w:tcBorders>
            <w:noWrap w:val="0"/>
            <w:vAlign w:val="center"/>
          </w:tcPr>
          <w:p w14:paraId="750044D3">
            <w:pPr>
              <w:keepNext w:val="0"/>
              <w:keepLines w:val="0"/>
              <w:pageBreakBefore w:val="0"/>
              <w:widowControl w:val="0"/>
              <w:suppressLineNumbers w:val="0"/>
              <w:kinsoku w:val="0"/>
              <w:wordWrap/>
              <w:overflowPunct/>
              <w:topLinePunct w:val="0"/>
              <w:autoSpaceDE/>
              <w:autoSpaceDN w:val="0"/>
              <w:bidi w:val="0"/>
              <w:adjustRightInd w:val="0"/>
              <w:snapToGrid w:val="0"/>
              <w:spacing w:before="0" w:beforeAutospacing="0" w:after="0" w:afterAutospacing="0" w:line="360" w:lineRule="atLeast"/>
              <w:ind w:left="0" w:right="0" w:firstLine="0"/>
              <w:jc w:val="left"/>
              <w:textAlignment w:val="baseline"/>
              <w:rPr>
                <w:rFonts w:hint="eastAsia" w:ascii="仿宋_GB2312" w:hAnsi="仿宋_GB2312" w:eastAsia="仿宋_GB2312" w:cs="仿宋_GB2312"/>
                <w:caps w:val="0"/>
                <w:color w:val="auto"/>
                <w:kern w:val="2"/>
                <w:sz w:val="24"/>
                <w:szCs w:val="24"/>
                <w:vertAlign w:val="baseline"/>
                <w:lang w:val="en-US" w:eastAsia="zh-CN" w:bidi="ar"/>
              </w:rPr>
            </w:pPr>
            <w:r>
              <w:rPr>
                <w:rFonts w:hint="eastAsia" w:ascii="仿宋_GB2312" w:hAnsi="仿宋_GB2312" w:eastAsia="仿宋_GB2312" w:cs="仿宋_GB2312"/>
                <w:b w:val="0"/>
                <w:bCs w:val="0"/>
                <w:caps w:val="0"/>
                <w:color w:val="auto"/>
                <w:kern w:val="2"/>
                <w:sz w:val="24"/>
                <w:szCs w:val="24"/>
                <w:vertAlign w:val="baseline"/>
                <w:lang w:val="en-US" w:eastAsia="zh-CN" w:bidi="ar"/>
              </w:rPr>
              <w:t>合  格</w:t>
            </w:r>
            <w:r>
              <w:rPr>
                <w:rFonts w:hint="default" w:ascii="仿宋_GB2312" w:hAnsi="仿宋_GB2312" w:eastAsia="仿宋_GB2312" w:cs="仿宋_GB2312"/>
                <w:b w:val="0"/>
                <w:bCs w:val="0"/>
                <w:caps w:val="0"/>
                <w:color w:val="auto"/>
                <w:kern w:val="2"/>
                <w:sz w:val="24"/>
                <w:szCs w:val="24"/>
                <w:vertAlign w:val="baseline"/>
                <w:lang w:val="en-US" w:eastAsia="zh-CN" w:bidi="ar"/>
              </w:rPr>
              <w:sym w:font="Wingdings 2" w:char="00A3"/>
            </w:r>
          </w:p>
          <w:p w14:paraId="62BDE1F3">
            <w:pPr>
              <w:keepNext w:val="0"/>
              <w:keepLines w:val="0"/>
              <w:pageBreakBefore w:val="0"/>
              <w:widowControl/>
              <w:suppressLineNumbers w:val="0"/>
              <w:kinsoku/>
              <w:wordWrap/>
              <w:overflowPunct/>
              <w:topLinePunct w:val="0"/>
              <w:autoSpaceDE/>
              <w:autoSpaceDN w:val="0"/>
              <w:bidi w:val="0"/>
              <w:adjustRightInd/>
              <w:snapToGrid w:val="0"/>
              <w:spacing w:before="0" w:beforeAutospacing="0" w:after="0" w:afterAutospacing="0" w:line="360" w:lineRule="atLeast"/>
              <w:ind w:left="0" w:right="0" w:firstLine="0"/>
              <w:jc w:val="both"/>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kern w:val="2"/>
                <w:sz w:val="24"/>
                <w:szCs w:val="24"/>
                <w:vertAlign w:val="baseline"/>
                <w:lang w:val="en-US" w:eastAsia="zh-CN" w:bidi="ar"/>
              </w:rPr>
              <w:t>不合格</w:t>
            </w:r>
            <w:r>
              <w:rPr>
                <w:rFonts w:hint="default" w:ascii="仿宋_GB2312" w:hAnsi="仿宋_GB2312" w:eastAsia="仿宋_GB2312" w:cs="仿宋_GB2312"/>
                <w:b w:val="0"/>
                <w:bCs w:val="0"/>
                <w:caps w:val="0"/>
                <w:color w:val="auto"/>
                <w:kern w:val="2"/>
                <w:sz w:val="24"/>
                <w:szCs w:val="24"/>
                <w:vertAlign w:val="baseline"/>
                <w:lang w:val="en-US" w:eastAsia="zh-CN" w:bidi="ar"/>
              </w:rPr>
              <w:sym w:font="Wingdings 2" w:char="00A3"/>
            </w:r>
          </w:p>
        </w:tc>
      </w:tr>
      <w:tr w14:paraId="1CCDBE3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965" w:hRule="atLeast"/>
        </w:trPr>
        <w:tc>
          <w:tcPr>
            <w:tcW w:w="272" w:type="pct"/>
            <w:tcBorders>
              <w:top w:val="single" w:color="000000" w:sz="6" w:space="0"/>
              <w:left w:val="single" w:color="auto" w:sz="6" w:space="0"/>
              <w:bottom w:val="single" w:color="auto" w:sz="4" w:space="0"/>
              <w:right w:val="single" w:color="auto" w:sz="6" w:space="0"/>
            </w:tcBorders>
            <w:noWrap w:val="0"/>
            <w:tcMar>
              <w:top w:w="0" w:type="dxa"/>
              <w:left w:w="60" w:type="dxa"/>
              <w:bottom w:w="0" w:type="dxa"/>
              <w:right w:w="60" w:type="dxa"/>
            </w:tcMar>
            <w:vAlign w:val="center"/>
          </w:tcPr>
          <w:p w14:paraId="7732B83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36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7</w:t>
            </w:r>
          </w:p>
        </w:tc>
        <w:tc>
          <w:tcPr>
            <w:tcW w:w="661" w:type="pct"/>
            <w:tcBorders>
              <w:top w:val="single" w:color="000000" w:sz="6" w:space="0"/>
              <w:left w:val="nil"/>
              <w:bottom w:val="single" w:color="auto" w:sz="4" w:space="0"/>
              <w:right w:val="single" w:color="auto" w:sz="6" w:space="0"/>
            </w:tcBorders>
            <w:noWrap w:val="0"/>
            <w:tcMar>
              <w:top w:w="0" w:type="dxa"/>
              <w:left w:w="60" w:type="dxa"/>
              <w:bottom w:w="0" w:type="dxa"/>
              <w:right w:w="60" w:type="dxa"/>
            </w:tcMar>
            <w:vAlign w:val="center"/>
          </w:tcPr>
          <w:p w14:paraId="40D70B1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36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医疗服务能力</w:t>
            </w:r>
          </w:p>
        </w:tc>
        <w:tc>
          <w:tcPr>
            <w:tcW w:w="3433" w:type="pct"/>
            <w:tcBorders>
              <w:top w:val="single" w:color="000000" w:sz="6" w:space="0"/>
              <w:left w:val="nil"/>
              <w:bottom w:val="single" w:color="auto" w:sz="4" w:space="0"/>
              <w:right w:val="single" w:color="auto" w:sz="6" w:space="0"/>
            </w:tcBorders>
            <w:noWrap w:val="0"/>
            <w:tcMar>
              <w:top w:w="0" w:type="dxa"/>
              <w:left w:w="60" w:type="dxa"/>
              <w:bottom w:w="0" w:type="dxa"/>
              <w:right w:w="60" w:type="dxa"/>
            </w:tcMar>
            <w:vAlign w:val="center"/>
          </w:tcPr>
          <w:p w14:paraId="152D94E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360" w:lineRule="atLeast"/>
              <w:ind w:left="0" w:right="0" w:firstLine="0"/>
              <w:jc w:val="both"/>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医疗机构：是否具备相应的医护专业人员，医师和护士各不少于2人。“否”即为不合格。</w:t>
            </w:r>
          </w:p>
          <w:p w14:paraId="56FF059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360" w:lineRule="atLeast"/>
              <w:ind w:left="0" w:right="0" w:firstLine="0"/>
              <w:jc w:val="both"/>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养老机构、其他服务机构：是否设有内设医疗机构或与就近的医疗机构开展与长护险护理服务相适应的协议合作。“否”即为不合格。</w:t>
            </w:r>
          </w:p>
        </w:tc>
        <w:tc>
          <w:tcPr>
            <w:tcW w:w="632" w:type="pct"/>
            <w:gridSpan w:val="2"/>
            <w:tcBorders>
              <w:top w:val="single" w:color="000000" w:sz="6" w:space="0"/>
              <w:left w:val="nil"/>
              <w:bottom w:val="single" w:color="auto" w:sz="4" w:space="0"/>
              <w:right w:val="single" w:color="auto" w:sz="6" w:space="0"/>
            </w:tcBorders>
            <w:noWrap w:val="0"/>
            <w:vAlign w:val="center"/>
          </w:tcPr>
          <w:p w14:paraId="6B42A6AB">
            <w:pPr>
              <w:keepNext w:val="0"/>
              <w:keepLines w:val="0"/>
              <w:pageBreakBefore w:val="0"/>
              <w:widowControl w:val="0"/>
              <w:suppressLineNumbers w:val="0"/>
              <w:kinsoku w:val="0"/>
              <w:wordWrap/>
              <w:overflowPunct/>
              <w:topLinePunct w:val="0"/>
              <w:autoSpaceDE/>
              <w:autoSpaceDN w:val="0"/>
              <w:bidi w:val="0"/>
              <w:adjustRightInd w:val="0"/>
              <w:snapToGrid w:val="0"/>
              <w:spacing w:before="0" w:beforeAutospacing="0" w:after="0" w:afterAutospacing="0" w:line="360" w:lineRule="atLeast"/>
              <w:ind w:left="0" w:right="0" w:firstLine="0"/>
              <w:jc w:val="left"/>
              <w:textAlignment w:val="baseline"/>
              <w:rPr>
                <w:rFonts w:hint="eastAsia" w:ascii="仿宋_GB2312" w:hAnsi="仿宋_GB2312" w:eastAsia="仿宋_GB2312" w:cs="仿宋_GB2312"/>
                <w:caps w:val="0"/>
                <w:color w:val="auto"/>
                <w:kern w:val="2"/>
                <w:sz w:val="24"/>
                <w:szCs w:val="24"/>
                <w:vertAlign w:val="baseline"/>
                <w:lang w:val="en-US" w:eastAsia="zh-CN" w:bidi="ar"/>
              </w:rPr>
            </w:pPr>
            <w:r>
              <w:rPr>
                <w:rFonts w:hint="eastAsia" w:ascii="仿宋_GB2312" w:hAnsi="仿宋_GB2312" w:eastAsia="仿宋_GB2312" w:cs="仿宋_GB2312"/>
                <w:b w:val="0"/>
                <w:bCs w:val="0"/>
                <w:caps w:val="0"/>
                <w:color w:val="auto"/>
                <w:kern w:val="2"/>
                <w:sz w:val="24"/>
                <w:szCs w:val="24"/>
                <w:vertAlign w:val="baseline"/>
                <w:lang w:val="en-US" w:eastAsia="zh-CN" w:bidi="ar"/>
              </w:rPr>
              <w:t>合  格</w:t>
            </w:r>
            <w:r>
              <w:rPr>
                <w:rFonts w:hint="default" w:ascii="仿宋_GB2312" w:hAnsi="仿宋_GB2312" w:eastAsia="仿宋_GB2312" w:cs="仿宋_GB2312"/>
                <w:b w:val="0"/>
                <w:bCs w:val="0"/>
                <w:caps w:val="0"/>
                <w:color w:val="auto"/>
                <w:kern w:val="2"/>
                <w:sz w:val="24"/>
                <w:szCs w:val="24"/>
                <w:vertAlign w:val="baseline"/>
                <w:lang w:val="en-US" w:eastAsia="zh-CN" w:bidi="ar"/>
              </w:rPr>
              <w:sym w:font="Wingdings 2" w:char="00A3"/>
            </w:r>
          </w:p>
          <w:p w14:paraId="44118455">
            <w:pPr>
              <w:keepNext w:val="0"/>
              <w:keepLines w:val="0"/>
              <w:pageBreakBefore w:val="0"/>
              <w:widowControl/>
              <w:suppressLineNumbers w:val="0"/>
              <w:kinsoku/>
              <w:wordWrap/>
              <w:overflowPunct/>
              <w:topLinePunct w:val="0"/>
              <w:autoSpaceDE/>
              <w:autoSpaceDN w:val="0"/>
              <w:bidi w:val="0"/>
              <w:adjustRightInd/>
              <w:snapToGrid w:val="0"/>
              <w:spacing w:before="0" w:beforeAutospacing="0" w:after="0" w:afterAutospacing="0" w:line="360" w:lineRule="atLeast"/>
              <w:ind w:left="0" w:right="0" w:firstLine="0"/>
              <w:jc w:val="both"/>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kern w:val="2"/>
                <w:sz w:val="24"/>
                <w:szCs w:val="24"/>
                <w:vertAlign w:val="baseline"/>
                <w:lang w:val="en-US" w:eastAsia="zh-CN" w:bidi="ar"/>
              </w:rPr>
              <w:t>不合格</w:t>
            </w:r>
            <w:r>
              <w:rPr>
                <w:rFonts w:hint="default" w:ascii="仿宋_GB2312" w:hAnsi="仿宋_GB2312" w:eastAsia="仿宋_GB2312" w:cs="仿宋_GB2312"/>
                <w:b w:val="0"/>
                <w:bCs w:val="0"/>
                <w:caps w:val="0"/>
                <w:color w:val="auto"/>
                <w:kern w:val="2"/>
                <w:sz w:val="24"/>
                <w:szCs w:val="24"/>
                <w:vertAlign w:val="baseline"/>
                <w:lang w:val="en-US" w:eastAsia="zh-CN" w:bidi="ar"/>
              </w:rPr>
              <w:sym w:font="Wingdings 2" w:char="00A3"/>
            </w:r>
          </w:p>
        </w:tc>
      </w:tr>
      <w:tr w14:paraId="71DFEBC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963" w:hRule="atLeast"/>
        </w:trPr>
        <w:tc>
          <w:tcPr>
            <w:tcW w:w="272" w:type="pct"/>
            <w:tcBorders>
              <w:top w:val="single" w:color="auto" w:sz="4" w:space="0"/>
              <w:left w:val="single" w:color="auto" w:sz="4" w:space="0"/>
              <w:bottom w:val="single" w:color="auto" w:sz="4" w:space="0"/>
              <w:right w:val="single" w:color="auto" w:sz="4" w:space="0"/>
            </w:tcBorders>
            <w:noWrap w:val="0"/>
            <w:tcMar>
              <w:top w:w="0" w:type="dxa"/>
              <w:left w:w="60" w:type="dxa"/>
              <w:bottom w:w="0" w:type="dxa"/>
              <w:right w:w="60" w:type="dxa"/>
            </w:tcMar>
            <w:vAlign w:val="center"/>
          </w:tcPr>
          <w:p w14:paraId="5E09CEA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36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8</w:t>
            </w:r>
          </w:p>
        </w:tc>
        <w:tc>
          <w:tcPr>
            <w:tcW w:w="661" w:type="pct"/>
            <w:tcBorders>
              <w:top w:val="single" w:color="auto" w:sz="4" w:space="0"/>
              <w:left w:val="single" w:color="auto" w:sz="4" w:space="0"/>
              <w:bottom w:val="single" w:color="auto" w:sz="4" w:space="0"/>
              <w:right w:val="single" w:color="auto" w:sz="4" w:space="0"/>
            </w:tcBorders>
            <w:noWrap w:val="0"/>
            <w:tcMar>
              <w:top w:w="0" w:type="dxa"/>
              <w:left w:w="60" w:type="dxa"/>
              <w:bottom w:w="0" w:type="dxa"/>
              <w:right w:w="60" w:type="dxa"/>
            </w:tcMar>
            <w:vAlign w:val="center"/>
          </w:tcPr>
          <w:p w14:paraId="2D034B4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36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收费标准</w:t>
            </w:r>
          </w:p>
        </w:tc>
        <w:tc>
          <w:tcPr>
            <w:tcW w:w="3433" w:type="pct"/>
            <w:tcBorders>
              <w:top w:val="single" w:color="auto" w:sz="4" w:space="0"/>
              <w:left w:val="single" w:color="auto" w:sz="4" w:space="0"/>
              <w:bottom w:val="single" w:color="auto" w:sz="4" w:space="0"/>
              <w:right w:val="single" w:color="auto" w:sz="4" w:space="0"/>
            </w:tcBorders>
            <w:noWrap w:val="0"/>
            <w:tcMar>
              <w:top w:w="0" w:type="dxa"/>
              <w:left w:w="60" w:type="dxa"/>
              <w:bottom w:w="0" w:type="dxa"/>
              <w:right w:w="60" w:type="dxa"/>
            </w:tcMar>
            <w:vAlign w:val="center"/>
          </w:tcPr>
          <w:p w14:paraId="2C01A89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360" w:lineRule="atLeast"/>
              <w:ind w:left="0" w:right="0" w:firstLine="0"/>
              <w:jc w:val="both"/>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与长护服务相关的收费项目和收费价格是否符合政策规定。“否”即为不合格。</w:t>
            </w:r>
          </w:p>
        </w:tc>
        <w:tc>
          <w:tcPr>
            <w:tcW w:w="632" w:type="pct"/>
            <w:gridSpan w:val="2"/>
            <w:tcBorders>
              <w:top w:val="single" w:color="auto" w:sz="4" w:space="0"/>
              <w:left w:val="single" w:color="auto" w:sz="4" w:space="0"/>
              <w:bottom w:val="single" w:color="auto" w:sz="4" w:space="0"/>
              <w:right w:val="single" w:color="auto" w:sz="4" w:space="0"/>
            </w:tcBorders>
            <w:noWrap w:val="0"/>
            <w:vAlign w:val="center"/>
          </w:tcPr>
          <w:p w14:paraId="48BC7D50">
            <w:pPr>
              <w:keepNext w:val="0"/>
              <w:keepLines w:val="0"/>
              <w:pageBreakBefore w:val="0"/>
              <w:widowControl w:val="0"/>
              <w:suppressLineNumbers w:val="0"/>
              <w:kinsoku w:val="0"/>
              <w:wordWrap/>
              <w:overflowPunct/>
              <w:topLinePunct w:val="0"/>
              <w:autoSpaceDE/>
              <w:autoSpaceDN w:val="0"/>
              <w:bidi w:val="0"/>
              <w:adjustRightInd w:val="0"/>
              <w:snapToGrid w:val="0"/>
              <w:spacing w:before="0" w:beforeAutospacing="0" w:after="0" w:afterAutospacing="0" w:line="360" w:lineRule="atLeast"/>
              <w:ind w:left="0" w:right="0" w:firstLine="0"/>
              <w:jc w:val="left"/>
              <w:textAlignment w:val="baseline"/>
              <w:rPr>
                <w:rFonts w:hint="eastAsia" w:ascii="仿宋_GB2312" w:hAnsi="仿宋_GB2312" w:eastAsia="仿宋_GB2312" w:cs="仿宋_GB2312"/>
                <w:caps w:val="0"/>
                <w:color w:val="auto"/>
                <w:kern w:val="2"/>
                <w:sz w:val="24"/>
                <w:szCs w:val="24"/>
                <w:vertAlign w:val="baseline"/>
                <w:lang w:val="en-US" w:eastAsia="zh-CN" w:bidi="ar"/>
              </w:rPr>
            </w:pPr>
            <w:r>
              <w:rPr>
                <w:rFonts w:hint="eastAsia" w:ascii="仿宋_GB2312" w:hAnsi="仿宋_GB2312" w:eastAsia="仿宋_GB2312" w:cs="仿宋_GB2312"/>
                <w:b w:val="0"/>
                <w:bCs w:val="0"/>
                <w:caps w:val="0"/>
                <w:color w:val="auto"/>
                <w:kern w:val="2"/>
                <w:sz w:val="24"/>
                <w:szCs w:val="24"/>
                <w:vertAlign w:val="baseline"/>
                <w:lang w:val="en-US" w:eastAsia="zh-CN" w:bidi="ar"/>
              </w:rPr>
              <w:t>合  格</w:t>
            </w:r>
            <w:r>
              <w:rPr>
                <w:rFonts w:hint="default" w:ascii="仿宋_GB2312" w:hAnsi="仿宋_GB2312" w:eastAsia="仿宋_GB2312" w:cs="仿宋_GB2312"/>
                <w:b w:val="0"/>
                <w:bCs w:val="0"/>
                <w:caps w:val="0"/>
                <w:color w:val="auto"/>
                <w:kern w:val="2"/>
                <w:sz w:val="24"/>
                <w:szCs w:val="24"/>
                <w:vertAlign w:val="baseline"/>
                <w:lang w:val="en-US" w:eastAsia="zh-CN" w:bidi="ar"/>
              </w:rPr>
              <w:sym w:font="Wingdings 2" w:char="00A3"/>
            </w:r>
          </w:p>
          <w:p w14:paraId="164F8340">
            <w:pPr>
              <w:keepNext w:val="0"/>
              <w:keepLines w:val="0"/>
              <w:pageBreakBefore w:val="0"/>
              <w:widowControl/>
              <w:suppressLineNumbers w:val="0"/>
              <w:kinsoku/>
              <w:wordWrap/>
              <w:overflowPunct/>
              <w:topLinePunct w:val="0"/>
              <w:autoSpaceDE/>
              <w:autoSpaceDN w:val="0"/>
              <w:bidi w:val="0"/>
              <w:adjustRightInd/>
              <w:snapToGrid w:val="0"/>
              <w:spacing w:before="0" w:beforeAutospacing="0" w:after="0" w:afterAutospacing="0" w:line="360" w:lineRule="atLeast"/>
              <w:ind w:left="0" w:right="0" w:firstLine="0"/>
              <w:jc w:val="both"/>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kern w:val="2"/>
                <w:sz w:val="24"/>
                <w:szCs w:val="24"/>
                <w:vertAlign w:val="baseline"/>
                <w:lang w:val="en-US" w:eastAsia="zh-CN" w:bidi="ar"/>
              </w:rPr>
              <w:t>不合格</w:t>
            </w:r>
            <w:r>
              <w:rPr>
                <w:rFonts w:hint="default" w:ascii="仿宋_GB2312" w:hAnsi="仿宋_GB2312" w:eastAsia="仿宋_GB2312" w:cs="仿宋_GB2312"/>
                <w:b w:val="0"/>
                <w:bCs w:val="0"/>
                <w:caps w:val="0"/>
                <w:color w:val="auto"/>
                <w:kern w:val="2"/>
                <w:sz w:val="24"/>
                <w:szCs w:val="24"/>
                <w:vertAlign w:val="baseline"/>
                <w:lang w:val="en-US" w:eastAsia="zh-CN" w:bidi="ar"/>
              </w:rPr>
              <w:sym w:font="Wingdings 2" w:char="00A3"/>
            </w:r>
          </w:p>
        </w:tc>
      </w:tr>
      <w:tr w14:paraId="40EE0C8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500" w:hRule="atLeast"/>
        </w:trPr>
        <w:tc>
          <w:tcPr>
            <w:tcW w:w="272" w:type="pct"/>
            <w:tcBorders>
              <w:top w:val="single" w:color="auto" w:sz="4" w:space="0"/>
              <w:left w:val="single" w:color="auto" w:sz="6" w:space="0"/>
              <w:bottom w:val="single" w:color="000000" w:sz="6" w:space="0"/>
              <w:right w:val="single" w:color="auto" w:sz="6" w:space="0"/>
            </w:tcBorders>
            <w:noWrap w:val="0"/>
            <w:tcMar>
              <w:top w:w="0" w:type="dxa"/>
              <w:left w:w="60" w:type="dxa"/>
              <w:bottom w:w="0" w:type="dxa"/>
              <w:right w:w="60" w:type="dxa"/>
            </w:tcMar>
            <w:vAlign w:val="center"/>
          </w:tcPr>
          <w:p w14:paraId="4775B29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36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9</w:t>
            </w:r>
          </w:p>
        </w:tc>
        <w:tc>
          <w:tcPr>
            <w:tcW w:w="661" w:type="pct"/>
            <w:tcBorders>
              <w:top w:val="single" w:color="auto" w:sz="4" w:space="0"/>
              <w:left w:val="nil"/>
              <w:bottom w:val="single" w:color="000000" w:sz="6" w:space="0"/>
              <w:right w:val="single" w:color="auto" w:sz="6" w:space="0"/>
            </w:tcBorders>
            <w:noWrap w:val="0"/>
            <w:tcMar>
              <w:top w:w="0" w:type="dxa"/>
              <w:left w:w="60" w:type="dxa"/>
              <w:bottom w:w="0" w:type="dxa"/>
              <w:right w:w="60" w:type="dxa"/>
            </w:tcMar>
            <w:vAlign w:val="center"/>
          </w:tcPr>
          <w:p w14:paraId="3E9CD97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36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护理区域设置</w:t>
            </w:r>
          </w:p>
        </w:tc>
        <w:tc>
          <w:tcPr>
            <w:tcW w:w="3433" w:type="pct"/>
            <w:tcBorders>
              <w:top w:val="single" w:color="auto" w:sz="4" w:space="0"/>
              <w:left w:val="nil"/>
              <w:bottom w:val="single" w:color="000000" w:sz="6" w:space="0"/>
              <w:right w:val="single" w:color="auto" w:sz="6" w:space="0"/>
            </w:tcBorders>
            <w:noWrap w:val="0"/>
            <w:tcMar>
              <w:top w:w="0" w:type="dxa"/>
              <w:left w:w="60" w:type="dxa"/>
              <w:bottom w:w="0" w:type="dxa"/>
              <w:right w:w="60" w:type="dxa"/>
            </w:tcMar>
            <w:vAlign w:val="center"/>
          </w:tcPr>
          <w:p w14:paraId="1A10196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360" w:lineRule="atLeast"/>
              <w:ind w:left="0" w:right="0" w:firstLine="0"/>
              <w:jc w:val="both"/>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医疗机构：是否单独设立长期护理专区或病房，并有明显标志，提供长期护理床位数不少于10张，“否”即为不合格。</w:t>
            </w:r>
          </w:p>
          <w:p w14:paraId="699EB80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360" w:lineRule="atLeast"/>
              <w:ind w:left="0" w:right="0" w:firstLine="0"/>
              <w:jc w:val="both"/>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养老机构、</w:t>
            </w:r>
            <w:r>
              <w:rPr>
                <w:rFonts w:hint="eastAsia" w:ascii="仿宋_GB2312" w:hAnsi="仿宋_GB2312" w:eastAsia="仿宋_GB2312" w:cs="仿宋_GB2312"/>
                <w:b w:val="0"/>
                <w:bCs w:val="0"/>
                <w:caps w:val="0"/>
                <w:color w:val="auto"/>
                <w:sz w:val="24"/>
                <w:szCs w:val="24"/>
                <w:vertAlign w:val="baseline"/>
                <w:lang w:eastAsia="zh-CN"/>
              </w:rPr>
              <w:t>其他服务</w:t>
            </w:r>
            <w:r>
              <w:rPr>
                <w:rFonts w:hint="eastAsia" w:ascii="仿宋_GB2312" w:hAnsi="仿宋_GB2312" w:eastAsia="仿宋_GB2312" w:cs="仿宋_GB2312"/>
                <w:b w:val="0"/>
                <w:bCs w:val="0"/>
                <w:caps w:val="0"/>
                <w:color w:val="auto"/>
                <w:sz w:val="24"/>
                <w:szCs w:val="24"/>
                <w:vertAlign w:val="baseline"/>
              </w:rPr>
              <w:t>机构：是否在相对独立区域设置长期护理服务专区，并有明显标志，提供长期护理床位数不少于10张，“否”即为不合格。</w:t>
            </w:r>
          </w:p>
        </w:tc>
        <w:tc>
          <w:tcPr>
            <w:tcW w:w="632" w:type="pct"/>
            <w:gridSpan w:val="2"/>
            <w:tcBorders>
              <w:top w:val="single" w:color="auto" w:sz="4" w:space="0"/>
              <w:left w:val="nil"/>
              <w:bottom w:val="single" w:color="000000" w:sz="6" w:space="0"/>
              <w:right w:val="single" w:color="auto" w:sz="6" w:space="0"/>
            </w:tcBorders>
            <w:noWrap w:val="0"/>
            <w:vAlign w:val="center"/>
          </w:tcPr>
          <w:p w14:paraId="30F483B7">
            <w:pPr>
              <w:keepNext w:val="0"/>
              <w:keepLines w:val="0"/>
              <w:pageBreakBefore w:val="0"/>
              <w:widowControl w:val="0"/>
              <w:suppressLineNumbers w:val="0"/>
              <w:kinsoku w:val="0"/>
              <w:wordWrap/>
              <w:overflowPunct/>
              <w:topLinePunct w:val="0"/>
              <w:autoSpaceDE/>
              <w:autoSpaceDN w:val="0"/>
              <w:bidi w:val="0"/>
              <w:adjustRightInd w:val="0"/>
              <w:snapToGrid w:val="0"/>
              <w:spacing w:before="0" w:beforeAutospacing="0" w:after="0" w:afterAutospacing="0" w:line="360" w:lineRule="atLeast"/>
              <w:ind w:left="0" w:right="0" w:firstLine="0"/>
              <w:jc w:val="left"/>
              <w:textAlignment w:val="baseline"/>
              <w:rPr>
                <w:rFonts w:hint="eastAsia" w:ascii="仿宋_GB2312" w:hAnsi="仿宋_GB2312" w:eastAsia="仿宋_GB2312" w:cs="仿宋_GB2312"/>
                <w:caps w:val="0"/>
                <w:color w:val="auto"/>
                <w:kern w:val="2"/>
                <w:sz w:val="24"/>
                <w:szCs w:val="24"/>
                <w:vertAlign w:val="baseline"/>
                <w:lang w:val="en-US" w:eastAsia="zh-CN" w:bidi="ar"/>
              </w:rPr>
            </w:pPr>
            <w:r>
              <w:rPr>
                <w:rFonts w:hint="eastAsia" w:ascii="仿宋_GB2312" w:hAnsi="仿宋_GB2312" w:eastAsia="仿宋_GB2312" w:cs="仿宋_GB2312"/>
                <w:b w:val="0"/>
                <w:bCs w:val="0"/>
                <w:caps w:val="0"/>
                <w:color w:val="auto"/>
                <w:kern w:val="2"/>
                <w:sz w:val="24"/>
                <w:szCs w:val="24"/>
                <w:vertAlign w:val="baseline"/>
                <w:lang w:val="en-US" w:eastAsia="zh-CN" w:bidi="ar"/>
              </w:rPr>
              <w:t>合  格</w:t>
            </w:r>
            <w:r>
              <w:rPr>
                <w:rFonts w:hint="default" w:ascii="仿宋_GB2312" w:hAnsi="仿宋_GB2312" w:eastAsia="仿宋_GB2312" w:cs="仿宋_GB2312"/>
                <w:b w:val="0"/>
                <w:bCs w:val="0"/>
                <w:caps w:val="0"/>
                <w:color w:val="auto"/>
                <w:kern w:val="2"/>
                <w:sz w:val="24"/>
                <w:szCs w:val="24"/>
                <w:vertAlign w:val="baseline"/>
                <w:lang w:val="en-US" w:eastAsia="zh-CN" w:bidi="ar"/>
              </w:rPr>
              <w:sym w:font="Wingdings 2" w:char="00A3"/>
            </w:r>
          </w:p>
          <w:p w14:paraId="34FA326B">
            <w:pPr>
              <w:keepNext w:val="0"/>
              <w:keepLines w:val="0"/>
              <w:pageBreakBefore w:val="0"/>
              <w:widowControl/>
              <w:suppressLineNumbers w:val="0"/>
              <w:kinsoku/>
              <w:wordWrap/>
              <w:overflowPunct/>
              <w:topLinePunct w:val="0"/>
              <w:autoSpaceDE/>
              <w:autoSpaceDN w:val="0"/>
              <w:bidi w:val="0"/>
              <w:adjustRightInd/>
              <w:snapToGrid w:val="0"/>
              <w:spacing w:before="0" w:beforeAutospacing="0" w:after="0" w:afterAutospacing="0" w:line="360" w:lineRule="atLeast"/>
              <w:ind w:left="0" w:right="0" w:firstLine="0"/>
              <w:jc w:val="both"/>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kern w:val="2"/>
                <w:sz w:val="24"/>
                <w:szCs w:val="24"/>
                <w:vertAlign w:val="baseline"/>
                <w:lang w:val="en-US" w:eastAsia="zh-CN" w:bidi="ar"/>
              </w:rPr>
              <w:t>不合格</w:t>
            </w:r>
            <w:r>
              <w:rPr>
                <w:rFonts w:hint="default" w:ascii="仿宋_GB2312" w:hAnsi="仿宋_GB2312" w:eastAsia="仿宋_GB2312" w:cs="仿宋_GB2312"/>
                <w:b w:val="0"/>
                <w:bCs w:val="0"/>
                <w:caps w:val="0"/>
                <w:color w:val="auto"/>
                <w:kern w:val="2"/>
                <w:sz w:val="24"/>
                <w:szCs w:val="24"/>
                <w:vertAlign w:val="baseline"/>
                <w:lang w:val="en-US" w:eastAsia="zh-CN" w:bidi="ar"/>
              </w:rPr>
              <w:sym w:font="Wingdings 2" w:char="00A3"/>
            </w:r>
          </w:p>
        </w:tc>
      </w:tr>
      <w:tr w14:paraId="3F6342B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257" w:hRule="atLeast"/>
        </w:trPr>
        <w:tc>
          <w:tcPr>
            <w:tcW w:w="272" w:type="pct"/>
            <w:tcBorders>
              <w:top w:val="single" w:color="000000" w:sz="6" w:space="0"/>
              <w:left w:val="single" w:color="000000" w:sz="6" w:space="0"/>
              <w:bottom w:val="single" w:color="000000" w:sz="6" w:space="0"/>
              <w:right w:val="single" w:color="auto" w:sz="6" w:space="0"/>
            </w:tcBorders>
            <w:noWrap w:val="0"/>
            <w:tcMar>
              <w:top w:w="0" w:type="dxa"/>
              <w:left w:w="60" w:type="dxa"/>
              <w:bottom w:w="0" w:type="dxa"/>
              <w:right w:w="60" w:type="dxa"/>
            </w:tcMar>
            <w:vAlign w:val="center"/>
          </w:tcPr>
          <w:p w14:paraId="5265715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36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10</w:t>
            </w:r>
          </w:p>
        </w:tc>
        <w:tc>
          <w:tcPr>
            <w:tcW w:w="661" w:type="pct"/>
            <w:tcBorders>
              <w:top w:val="single" w:color="000000" w:sz="6" w:space="0"/>
              <w:left w:val="nil"/>
              <w:bottom w:val="single" w:color="000000" w:sz="6" w:space="0"/>
              <w:right w:val="single" w:color="auto" w:sz="6" w:space="0"/>
            </w:tcBorders>
            <w:noWrap w:val="0"/>
            <w:tcMar>
              <w:top w:w="0" w:type="dxa"/>
              <w:left w:w="60" w:type="dxa"/>
              <w:bottom w:w="0" w:type="dxa"/>
              <w:right w:w="60" w:type="dxa"/>
            </w:tcMar>
            <w:vAlign w:val="center"/>
          </w:tcPr>
          <w:p w14:paraId="4DDC6A8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36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人员配备</w:t>
            </w:r>
          </w:p>
        </w:tc>
        <w:tc>
          <w:tcPr>
            <w:tcW w:w="3433" w:type="pct"/>
            <w:tcBorders>
              <w:top w:val="single" w:color="000000" w:sz="6" w:space="0"/>
              <w:left w:val="nil"/>
              <w:bottom w:val="single" w:color="000000" w:sz="6" w:space="0"/>
              <w:right w:val="single" w:color="auto" w:sz="6" w:space="0"/>
            </w:tcBorders>
            <w:noWrap w:val="0"/>
            <w:tcMar>
              <w:top w:w="0" w:type="dxa"/>
              <w:left w:w="60" w:type="dxa"/>
              <w:bottom w:w="0" w:type="dxa"/>
              <w:right w:w="60" w:type="dxa"/>
            </w:tcMar>
            <w:vAlign w:val="center"/>
          </w:tcPr>
          <w:p w14:paraId="7C92B19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360" w:lineRule="atLeast"/>
              <w:ind w:left="0" w:right="0" w:firstLine="0"/>
              <w:jc w:val="both"/>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医疗机构：</w:t>
            </w:r>
            <w:r>
              <w:rPr>
                <w:rFonts w:hint="eastAsia" w:ascii="仿宋_GB2312" w:hAnsi="仿宋_GB2312" w:eastAsia="仿宋_GB2312" w:cs="仿宋_GB2312"/>
                <w:b w:val="0"/>
                <w:bCs w:val="0"/>
                <w:caps w:val="0"/>
                <w:color w:val="auto"/>
                <w:sz w:val="24"/>
                <w:szCs w:val="24"/>
                <w:vertAlign w:val="baseline"/>
                <w:lang w:eastAsia="zh-CN"/>
              </w:rPr>
              <w:t>首年长期照护师配备不少于</w:t>
            </w:r>
            <w:r>
              <w:rPr>
                <w:rFonts w:hint="eastAsia" w:ascii="仿宋_GB2312" w:hAnsi="仿宋_GB2312" w:eastAsia="仿宋_GB2312" w:cs="仿宋_GB2312"/>
                <w:b w:val="0"/>
                <w:bCs w:val="0"/>
                <w:caps w:val="0"/>
                <w:color w:val="auto"/>
                <w:sz w:val="24"/>
                <w:szCs w:val="24"/>
                <w:vertAlign w:val="baseline"/>
                <w:lang w:val="en-US" w:eastAsia="zh-CN"/>
              </w:rPr>
              <w:t>2人；</w:t>
            </w:r>
            <w:r>
              <w:rPr>
                <w:rFonts w:hint="eastAsia" w:ascii="仿宋_GB2312" w:hAnsi="仿宋_GB2312" w:eastAsia="仿宋_GB2312" w:cs="仿宋_GB2312"/>
                <w:b w:val="0"/>
                <w:bCs w:val="0"/>
                <w:caps w:val="0"/>
                <w:color w:val="auto"/>
                <w:sz w:val="24"/>
                <w:szCs w:val="24"/>
                <w:vertAlign w:val="baseline"/>
              </w:rPr>
              <w:t>配备与长期护理病区或病房相适应的医护人员以及护理服务人员，长期护理病区或病房内的护理服务人员与护理床位配比是否不低于1:3.5，</w:t>
            </w:r>
            <w:r>
              <w:rPr>
                <w:rFonts w:hint="eastAsia" w:ascii="仿宋_GB2312" w:hAnsi="仿宋_GB2312" w:eastAsia="仿宋_GB2312" w:cs="仿宋_GB2312"/>
                <w:b w:val="0"/>
                <w:bCs w:val="0"/>
                <w:caps w:val="0"/>
                <w:color w:val="auto"/>
                <w:sz w:val="24"/>
                <w:szCs w:val="24"/>
                <w:vertAlign w:val="baseline"/>
                <w:lang w:eastAsia="zh-CN"/>
              </w:rPr>
              <w:t>其中一项为</w:t>
            </w:r>
            <w:r>
              <w:rPr>
                <w:rFonts w:hint="eastAsia" w:ascii="仿宋_GB2312" w:hAnsi="仿宋_GB2312" w:eastAsia="仿宋_GB2312" w:cs="仿宋_GB2312"/>
                <w:b w:val="0"/>
                <w:bCs w:val="0"/>
                <w:caps w:val="0"/>
                <w:color w:val="auto"/>
                <w:sz w:val="24"/>
                <w:szCs w:val="24"/>
                <w:vertAlign w:val="baseline"/>
              </w:rPr>
              <w:t>“否”即为不合格。</w:t>
            </w:r>
          </w:p>
          <w:p w14:paraId="7C07D39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360" w:lineRule="atLeast"/>
              <w:ind w:left="0" w:right="0" w:firstLine="0"/>
              <w:jc w:val="both"/>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养老机构、</w:t>
            </w:r>
            <w:r>
              <w:rPr>
                <w:rFonts w:hint="eastAsia" w:ascii="仿宋_GB2312" w:hAnsi="仿宋_GB2312" w:eastAsia="仿宋_GB2312" w:cs="仿宋_GB2312"/>
                <w:b w:val="0"/>
                <w:bCs w:val="0"/>
                <w:caps w:val="0"/>
                <w:color w:val="auto"/>
                <w:sz w:val="24"/>
                <w:szCs w:val="24"/>
                <w:vertAlign w:val="baseline"/>
                <w:lang w:eastAsia="zh-CN"/>
              </w:rPr>
              <w:t>其他服务</w:t>
            </w:r>
            <w:r>
              <w:rPr>
                <w:rFonts w:hint="eastAsia" w:ascii="仿宋_GB2312" w:hAnsi="仿宋_GB2312" w:eastAsia="仿宋_GB2312" w:cs="仿宋_GB2312"/>
                <w:b w:val="0"/>
                <w:bCs w:val="0"/>
                <w:caps w:val="0"/>
                <w:color w:val="auto"/>
                <w:sz w:val="24"/>
                <w:szCs w:val="24"/>
                <w:vertAlign w:val="baseline"/>
              </w:rPr>
              <w:t>机构：</w:t>
            </w:r>
            <w:r>
              <w:rPr>
                <w:rFonts w:hint="eastAsia" w:ascii="仿宋_GB2312" w:hAnsi="仿宋_GB2312" w:eastAsia="仿宋_GB2312" w:cs="仿宋_GB2312"/>
                <w:b w:val="0"/>
                <w:bCs w:val="0"/>
                <w:caps w:val="0"/>
                <w:color w:val="auto"/>
                <w:sz w:val="24"/>
                <w:szCs w:val="24"/>
                <w:vertAlign w:val="baseline"/>
                <w:lang w:eastAsia="zh-CN"/>
              </w:rPr>
              <w:t>首年长期照护师配备不少于</w:t>
            </w:r>
            <w:r>
              <w:rPr>
                <w:rFonts w:hint="eastAsia" w:ascii="仿宋_GB2312" w:hAnsi="仿宋_GB2312" w:eastAsia="仿宋_GB2312" w:cs="仿宋_GB2312"/>
                <w:b w:val="0"/>
                <w:bCs w:val="0"/>
                <w:caps w:val="0"/>
                <w:color w:val="auto"/>
                <w:sz w:val="24"/>
                <w:szCs w:val="24"/>
                <w:vertAlign w:val="baseline"/>
                <w:lang w:val="en-US" w:eastAsia="zh-CN"/>
              </w:rPr>
              <w:t>2人；</w:t>
            </w:r>
            <w:r>
              <w:rPr>
                <w:rFonts w:hint="eastAsia" w:ascii="仿宋_GB2312" w:hAnsi="仿宋_GB2312" w:eastAsia="仿宋_GB2312" w:cs="仿宋_GB2312"/>
                <w:b w:val="0"/>
                <w:bCs w:val="0"/>
                <w:caps w:val="0"/>
                <w:color w:val="auto"/>
                <w:sz w:val="24"/>
                <w:szCs w:val="24"/>
                <w:vertAlign w:val="baseline"/>
              </w:rPr>
              <w:t>配备与长护险护理服务相适应的护理服务人员，长期护理服务专区内的护理服务人员与护理床位配比是否不低于1:3，</w:t>
            </w:r>
            <w:r>
              <w:rPr>
                <w:rFonts w:hint="eastAsia" w:ascii="仿宋_GB2312" w:hAnsi="仿宋_GB2312" w:eastAsia="仿宋_GB2312" w:cs="仿宋_GB2312"/>
                <w:b w:val="0"/>
                <w:bCs w:val="0"/>
                <w:caps w:val="0"/>
                <w:color w:val="auto"/>
                <w:sz w:val="24"/>
                <w:szCs w:val="24"/>
                <w:vertAlign w:val="baseline"/>
                <w:lang w:eastAsia="zh-CN"/>
              </w:rPr>
              <w:t>其中一项为</w:t>
            </w:r>
            <w:r>
              <w:rPr>
                <w:rFonts w:hint="eastAsia" w:ascii="仿宋_GB2312" w:hAnsi="仿宋_GB2312" w:eastAsia="仿宋_GB2312" w:cs="仿宋_GB2312"/>
                <w:b w:val="0"/>
                <w:bCs w:val="0"/>
                <w:caps w:val="0"/>
                <w:color w:val="auto"/>
                <w:sz w:val="24"/>
                <w:szCs w:val="24"/>
                <w:vertAlign w:val="baseline"/>
              </w:rPr>
              <w:t>“否”即为不合格。</w:t>
            </w:r>
          </w:p>
        </w:tc>
        <w:tc>
          <w:tcPr>
            <w:tcW w:w="632" w:type="pct"/>
            <w:gridSpan w:val="2"/>
            <w:tcBorders>
              <w:top w:val="single" w:color="000000" w:sz="6" w:space="0"/>
              <w:left w:val="nil"/>
              <w:bottom w:val="single" w:color="000000" w:sz="6" w:space="0"/>
              <w:right w:val="single" w:color="000000" w:sz="6" w:space="0"/>
            </w:tcBorders>
            <w:noWrap w:val="0"/>
            <w:vAlign w:val="center"/>
          </w:tcPr>
          <w:p w14:paraId="04741D8D">
            <w:pPr>
              <w:keepNext w:val="0"/>
              <w:keepLines w:val="0"/>
              <w:pageBreakBefore w:val="0"/>
              <w:widowControl w:val="0"/>
              <w:suppressLineNumbers w:val="0"/>
              <w:kinsoku w:val="0"/>
              <w:wordWrap/>
              <w:overflowPunct/>
              <w:topLinePunct w:val="0"/>
              <w:autoSpaceDE/>
              <w:autoSpaceDN w:val="0"/>
              <w:bidi w:val="0"/>
              <w:adjustRightInd w:val="0"/>
              <w:snapToGrid w:val="0"/>
              <w:spacing w:before="0" w:beforeAutospacing="0" w:after="0" w:afterAutospacing="0" w:line="360" w:lineRule="atLeast"/>
              <w:ind w:left="0" w:right="0" w:firstLine="0"/>
              <w:jc w:val="left"/>
              <w:textAlignment w:val="baseline"/>
              <w:rPr>
                <w:rFonts w:hint="eastAsia" w:ascii="仿宋_GB2312" w:hAnsi="仿宋_GB2312" w:eastAsia="仿宋_GB2312" w:cs="仿宋_GB2312"/>
                <w:caps w:val="0"/>
                <w:color w:val="auto"/>
                <w:kern w:val="2"/>
                <w:sz w:val="24"/>
                <w:szCs w:val="24"/>
                <w:vertAlign w:val="baseline"/>
                <w:lang w:val="en-US" w:eastAsia="zh-CN" w:bidi="ar"/>
              </w:rPr>
            </w:pPr>
            <w:r>
              <w:rPr>
                <w:rFonts w:hint="eastAsia" w:ascii="仿宋_GB2312" w:hAnsi="仿宋_GB2312" w:eastAsia="仿宋_GB2312" w:cs="仿宋_GB2312"/>
                <w:b w:val="0"/>
                <w:bCs w:val="0"/>
                <w:caps w:val="0"/>
                <w:color w:val="auto"/>
                <w:kern w:val="2"/>
                <w:sz w:val="24"/>
                <w:szCs w:val="24"/>
                <w:vertAlign w:val="baseline"/>
                <w:lang w:val="en-US" w:eastAsia="zh-CN" w:bidi="ar"/>
              </w:rPr>
              <w:t>合  格</w:t>
            </w:r>
            <w:r>
              <w:rPr>
                <w:rFonts w:hint="default" w:ascii="仿宋_GB2312" w:hAnsi="仿宋_GB2312" w:eastAsia="仿宋_GB2312" w:cs="仿宋_GB2312"/>
                <w:b w:val="0"/>
                <w:bCs w:val="0"/>
                <w:caps w:val="0"/>
                <w:color w:val="auto"/>
                <w:kern w:val="2"/>
                <w:sz w:val="24"/>
                <w:szCs w:val="24"/>
                <w:vertAlign w:val="baseline"/>
                <w:lang w:val="en-US" w:eastAsia="zh-CN" w:bidi="ar"/>
              </w:rPr>
              <w:sym w:font="Wingdings 2" w:char="00A3"/>
            </w:r>
          </w:p>
          <w:p w14:paraId="77278B8C">
            <w:pPr>
              <w:keepNext w:val="0"/>
              <w:keepLines w:val="0"/>
              <w:pageBreakBefore w:val="0"/>
              <w:widowControl/>
              <w:suppressLineNumbers w:val="0"/>
              <w:kinsoku/>
              <w:wordWrap/>
              <w:overflowPunct/>
              <w:topLinePunct w:val="0"/>
              <w:autoSpaceDE/>
              <w:autoSpaceDN w:val="0"/>
              <w:bidi w:val="0"/>
              <w:adjustRightInd/>
              <w:snapToGrid w:val="0"/>
              <w:spacing w:before="0" w:beforeAutospacing="0" w:after="0" w:afterAutospacing="0" w:line="360" w:lineRule="atLeast"/>
              <w:ind w:left="0" w:right="0" w:firstLine="0"/>
              <w:jc w:val="both"/>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kern w:val="2"/>
                <w:sz w:val="24"/>
                <w:szCs w:val="24"/>
                <w:vertAlign w:val="baseline"/>
                <w:lang w:val="en-US" w:eastAsia="zh-CN" w:bidi="ar"/>
              </w:rPr>
              <w:t>不合格</w:t>
            </w:r>
            <w:r>
              <w:rPr>
                <w:rFonts w:hint="default" w:ascii="仿宋_GB2312" w:hAnsi="仿宋_GB2312" w:eastAsia="仿宋_GB2312" w:cs="仿宋_GB2312"/>
                <w:b w:val="0"/>
                <w:bCs w:val="0"/>
                <w:caps w:val="0"/>
                <w:color w:val="auto"/>
                <w:kern w:val="2"/>
                <w:sz w:val="24"/>
                <w:szCs w:val="24"/>
                <w:vertAlign w:val="baseline"/>
                <w:lang w:val="en-US" w:eastAsia="zh-CN" w:bidi="ar"/>
              </w:rPr>
              <w:sym w:font="Wingdings 2" w:char="00A3"/>
            </w:r>
          </w:p>
        </w:tc>
      </w:tr>
      <w:tr w14:paraId="6D2C18F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618" w:hRule="atLeast"/>
        </w:trPr>
        <w:tc>
          <w:tcPr>
            <w:tcW w:w="272" w:type="pct"/>
            <w:tcBorders>
              <w:top w:val="single" w:color="000000" w:sz="6" w:space="0"/>
              <w:left w:val="single" w:color="auto" w:sz="6" w:space="0"/>
              <w:bottom w:val="single" w:color="auto" w:sz="6" w:space="0"/>
              <w:right w:val="single" w:color="auto" w:sz="6" w:space="0"/>
            </w:tcBorders>
            <w:noWrap w:val="0"/>
            <w:tcMar>
              <w:top w:w="0" w:type="dxa"/>
              <w:left w:w="60" w:type="dxa"/>
              <w:bottom w:w="0" w:type="dxa"/>
              <w:right w:w="60" w:type="dxa"/>
            </w:tcMar>
            <w:vAlign w:val="center"/>
          </w:tcPr>
          <w:p w14:paraId="7E8C20E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36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11</w:t>
            </w:r>
          </w:p>
        </w:tc>
        <w:tc>
          <w:tcPr>
            <w:tcW w:w="661" w:type="pct"/>
            <w:tcBorders>
              <w:top w:val="single" w:color="000000" w:sz="6" w:space="0"/>
              <w:left w:val="nil"/>
              <w:bottom w:val="single" w:color="auto" w:sz="6" w:space="0"/>
              <w:right w:val="single" w:color="auto" w:sz="6" w:space="0"/>
            </w:tcBorders>
            <w:noWrap w:val="0"/>
            <w:tcMar>
              <w:top w:w="0" w:type="dxa"/>
              <w:left w:w="60" w:type="dxa"/>
              <w:bottom w:w="0" w:type="dxa"/>
              <w:right w:w="60" w:type="dxa"/>
            </w:tcMar>
            <w:vAlign w:val="center"/>
          </w:tcPr>
          <w:p w14:paraId="3516256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36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不予受理的情形</w:t>
            </w:r>
          </w:p>
        </w:tc>
        <w:tc>
          <w:tcPr>
            <w:tcW w:w="3433" w:type="pct"/>
            <w:tcBorders>
              <w:top w:val="single" w:color="000000" w:sz="6" w:space="0"/>
              <w:left w:val="nil"/>
              <w:bottom w:val="single" w:color="auto" w:sz="6" w:space="0"/>
              <w:right w:val="single" w:color="auto" w:sz="6" w:space="0"/>
            </w:tcBorders>
            <w:noWrap w:val="0"/>
            <w:tcMar>
              <w:top w:w="0" w:type="dxa"/>
              <w:left w:w="60" w:type="dxa"/>
              <w:bottom w:w="0" w:type="dxa"/>
              <w:right w:w="60" w:type="dxa"/>
            </w:tcMar>
            <w:vAlign w:val="center"/>
          </w:tcPr>
          <w:p w14:paraId="0395756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360" w:lineRule="atLeast"/>
              <w:ind w:left="0" w:right="0" w:firstLine="0"/>
              <w:jc w:val="both"/>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是否存</w:t>
            </w:r>
            <w:r>
              <w:rPr>
                <w:rFonts w:hint="eastAsia" w:ascii="仿宋_GB2312" w:hAnsi="仿宋_GB2312" w:eastAsia="仿宋_GB2312" w:cs="仿宋_GB2312"/>
                <w:caps w:val="0"/>
                <w:color w:val="auto"/>
                <w:sz w:val="24"/>
                <w:szCs w:val="24"/>
                <w:vertAlign w:val="baseline"/>
              </w:rPr>
              <w:t>在《</w:t>
            </w:r>
            <w:r>
              <w:rPr>
                <w:rFonts w:hint="eastAsia" w:ascii="仿宋_GB2312" w:hAnsi="仿宋_GB2312" w:eastAsia="仿宋_GB2312" w:cs="仿宋_GB2312"/>
                <w:bCs/>
                <w:caps w:val="0"/>
                <w:color w:val="auto"/>
                <w:sz w:val="24"/>
                <w:szCs w:val="24"/>
                <w:vertAlign w:val="baseline"/>
              </w:rPr>
              <w:t>宁夏回族自治区长期护理保险护理服务机构定点管理</w:t>
            </w:r>
            <w:r>
              <w:rPr>
                <w:rFonts w:hint="eastAsia" w:ascii="仿宋_GB2312" w:hAnsi="仿宋_GB2312" w:eastAsia="仿宋_GB2312" w:cs="仿宋_GB2312"/>
                <w:caps w:val="0"/>
                <w:color w:val="auto"/>
                <w:sz w:val="24"/>
                <w:szCs w:val="24"/>
                <w:vertAlign w:val="baseline"/>
              </w:rPr>
              <w:t>实施细则》第十一条所规</w:t>
            </w:r>
            <w:r>
              <w:rPr>
                <w:rFonts w:hint="eastAsia" w:ascii="仿宋_GB2312" w:hAnsi="仿宋_GB2312" w:eastAsia="仿宋_GB2312" w:cs="仿宋_GB2312"/>
                <w:b w:val="0"/>
                <w:bCs w:val="0"/>
                <w:caps w:val="0"/>
                <w:color w:val="auto"/>
                <w:sz w:val="24"/>
                <w:szCs w:val="24"/>
                <w:vertAlign w:val="baseline"/>
              </w:rPr>
              <w:t>定的不予受理的情形。如有一项不予受理的情形即为不合格。</w:t>
            </w:r>
          </w:p>
        </w:tc>
        <w:tc>
          <w:tcPr>
            <w:tcW w:w="632" w:type="pct"/>
            <w:gridSpan w:val="2"/>
            <w:tcBorders>
              <w:top w:val="single" w:color="000000" w:sz="6" w:space="0"/>
              <w:left w:val="nil"/>
              <w:bottom w:val="single" w:color="auto" w:sz="6" w:space="0"/>
              <w:right w:val="single" w:color="auto" w:sz="6" w:space="0"/>
            </w:tcBorders>
            <w:noWrap w:val="0"/>
            <w:vAlign w:val="center"/>
          </w:tcPr>
          <w:p w14:paraId="40008BE2">
            <w:pPr>
              <w:keepNext w:val="0"/>
              <w:keepLines w:val="0"/>
              <w:pageBreakBefore w:val="0"/>
              <w:widowControl w:val="0"/>
              <w:suppressLineNumbers w:val="0"/>
              <w:kinsoku w:val="0"/>
              <w:wordWrap/>
              <w:overflowPunct/>
              <w:topLinePunct w:val="0"/>
              <w:autoSpaceDE/>
              <w:autoSpaceDN w:val="0"/>
              <w:bidi w:val="0"/>
              <w:adjustRightInd w:val="0"/>
              <w:snapToGrid w:val="0"/>
              <w:spacing w:before="0" w:beforeAutospacing="0" w:after="0" w:afterAutospacing="0" w:line="360" w:lineRule="atLeast"/>
              <w:ind w:left="0" w:right="0" w:firstLine="0"/>
              <w:jc w:val="left"/>
              <w:textAlignment w:val="baseline"/>
              <w:rPr>
                <w:rFonts w:hint="eastAsia" w:ascii="仿宋_GB2312" w:hAnsi="仿宋_GB2312" w:eastAsia="仿宋_GB2312" w:cs="仿宋_GB2312"/>
                <w:caps w:val="0"/>
                <w:color w:val="auto"/>
                <w:kern w:val="2"/>
                <w:sz w:val="24"/>
                <w:szCs w:val="24"/>
                <w:vertAlign w:val="baseline"/>
                <w:lang w:val="en-US" w:eastAsia="zh-CN" w:bidi="ar"/>
              </w:rPr>
            </w:pPr>
            <w:r>
              <w:rPr>
                <w:rFonts w:hint="eastAsia" w:ascii="仿宋_GB2312" w:hAnsi="仿宋_GB2312" w:eastAsia="仿宋_GB2312" w:cs="仿宋_GB2312"/>
                <w:b w:val="0"/>
                <w:bCs w:val="0"/>
                <w:caps w:val="0"/>
                <w:color w:val="auto"/>
                <w:kern w:val="2"/>
                <w:sz w:val="24"/>
                <w:szCs w:val="24"/>
                <w:vertAlign w:val="baseline"/>
                <w:lang w:val="en-US" w:eastAsia="zh-CN" w:bidi="ar"/>
              </w:rPr>
              <w:t>合  格</w:t>
            </w:r>
            <w:r>
              <w:rPr>
                <w:rFonts w:hint="default" w:ascii="仿宋_GB2312" w:hAnsi="仿宋_GB2312" w:eastAsia="仿宋_GB2312" w:cs="仿宋_GB2312"/>
                <w:b w:val="0"/>
                <w:bCs w:val="0"/>
                <w:caps w:val="0"/>
                <w:color w:val="auto"/>
                <w:kern w:val="2"/>
                <w:sz w:val="24"/>
                <w:szCs w:val="24"/>
                <w:vertAlign w:val="baseline"/>
                <w:lang w:val="en-US" w:eastAsia="zh-CN" w:bidi="ar"/>
              </w:rPr>
              <w:sym w:font="Wingdings 2" w:char="00A3"/>
            </w:r>
          </w:p>
          <w:p w14:paraId="6462BE8C">
            <w:pPr>
              <w:keepNext w:val="0"/>
              <w:keepLines w:val="0"/>
              <w:pageBreakBefore w:val="0"/>
              <w:widowControl/>
              <w:suppressLineNumbers w:val="0"/>
              <w:kinsoku/>
              <w:wordWrap/>
              <w:overflowPunct/>
              <w:topLinePunct w:val="0"/>
              <w:autoSpaceDE/>
              <w:autoSpaceDN w:val="0"/>
              <w:bidi w:val="0"/>
              <w:adjustRightInd/>
              <w:snapToGrid w:val="0"/>
              <w:spacing w:before="0" w:beforeAutospacing="0" w:after="0" w:afterAutospacing="0" w:line="360" w:lineRule="atLeast"/>
              <w:ind w:left="0" w:right="0" w:firstLine="0"/>
              <w:jc w:val="both"/>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kern w:val="2"/>
                <w:sz w:val="24"/>
                <w:szCs w:val="24"/>
                <w:vertAlign w:val="baseline"/>
                <w:lang w:val="en-US" w:eastAsia="zh-CN" w:bidi="ar"/>
              </w:rPr>
              <w:t>不合格</w:t>
            </w:r>
            <w:r>
              <w:rPr>
                <w:rFonts w:hint="default" w:ascii="仿宋_GB2312" w:hAnsi="仿宋_GB2312" w:eastAsia="仿宋_GB2312" w:cs="仿宋_GB2312"/>
                <w:b w:val="0"/>
                <w:bCs w:val="0"/>
                <w:caps w:val="0"/>
                <w:color w:val="auto"/>
                <w:kern w:val="2"/>
                <w:sz w:val="24"/>
                <w:szCs w:val="24"/>
                <w:vertAlign w:val="baseline"/>
                <w:lang w:val="en-US" w:eastAsia="zh-CN" w:bidi="ar"/>
              </w:rPr>
              <w:sym w:font="Wingdings 2" w:char="00A3"/>
            </w:r>
          </w:p>
        </w:tc>
      </w:tr>
      <w:tr w14:paraId="7C0DD3F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12" w:hRule="atLeast"/>
        </w:trPr>
        <w:tc>
          <w:tcPr>
            <w:tcW w:w="4367" w:type="pct"/>
            <w:gridSpan w:val="3"/>
            <w:tcBorders>
              <w:top w:val="single" w:color="auto" w:sz="6" w:space="0"/>
              <w:left w:val="single" w:color="auto" w:sz="6" w:space="0"/>
              <w:bottom w:val="single" w:color="auto" w:sz="6" w:space="0"/>
              <w:right w:val="single" w:color="auto" w:sz="6" w:space="0"/>
            </w:tcBorders>
            <w:noWrap w:val="0"/>
            <w:tcMar>
              <w:top w:w="0" w:type="dxa"/>
              <w:left w:w="60" w:type="dxa"/>
              <w:bottom w:w="0" w:type="dxa"/>
              <w:right w:w="60" w:type="dxa"/>
            </w:tcMar>
            <w:vAlign w:val="center"/>
          </w:tcPr>
          <w:p w14:paraId="4D4C67A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36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审核情况</w:t>
            </w:r>
          </w:p>
        </w:tc>
        <w:tc>
          <w:tcPr>
            <w:tcW w:w="632" w:type="pct"/>
            <w:gridSpan w:val="2"/>
            <w:tcBorders>
              <w:top w:val="single" w:color="auto" w:sz="6" w:space="0"/>
              <w:left w:val="nil"/>
              <w:bottom w:val="single" w:color="auto" w:sz="6" w:space="0"/>
              <w:right w:val="single" w:color="auto" w:sz="6" w:space="0"/>
            </w:tcBorders>
            <w:noWrap w:val="0"/>
            <w:vAlign w:val="center"/>
          </w:tcPr>
          <w:p w14:paraId="6B7792C0">
            <w:pPr>
              <w:keepNext w:val="0"/>
              <w:keepLines w:val="0"/>
              <w:pageBreakBefore w:val="0"/>
              <w:widowControl w:val="0"/>
              <w:suppressLineNumbers w:val="0"/>
              <w:kinsoku w:val="0"/>
              <w:wordWrap/>
              <w:overflowPunct/>
              <w:topLinePunct w:val="0"/>
              <w:autoSpaceDE/>
              <w:autoSpaceDN w:val="0"/>
              <w:bidi w:val="0"/>
              <w:adjustRightInd w:val="0"/>
              <w:snapToGrid w:val="0"/>
              <w:spacing w:before="0" w:beforeAutospacing="0" w:after="0" w:afterAutospacing="0" w:line="360" w:lineRule="atLeast"/>
              <w:ind w:left="0" w:right="0" w:firstLine="0"/>
              <w:jc w:val="left"/>
              <w:textAlignment w:val="baseline"/>
              <w:rPr>
                <w:rFonts w:hint="eastAsia" w:ascii="仿宋_GB2312" w:hAnsi="仿宋_GB2312" w:eastAsia="仿宋_GB2312" w:cs="仿宋_GB2312"/>
                <w:caps w:val="0"/>
                <w:color w:val="auto"/>
                <w:kern w:val="2"/>
                <w:sz w:val="24"/>
                <w:szCs w:val="24"/>
                <w:vertAlign w:val="baseline"/>
                <w:lang w:val="en-US" w:eastAsia="zh-CN" w:bidi="ar"/>
              </w:rPr>
            </w:pPr>
            <w:r>
              <w:rPr>
                <w:rFonts w:hint="eastAsia" w:ascii="仿宋_GB2312" w:hAnsi="仿宋_GB2312" w:eastAsia="仿宋_GB2312" w:cs="仿宋_GB2312"/>
                <w:b w:val="0"/>
                <w:bCs w:val="0"/>
                <w:caps w:val="0"/>
                <w:color w:val="auto"/>
                <w:kern w:val="2"/>
                <w:sz w:val="24"/>
                <w:szCs w:val="24"/>
                <w:vertAlign w:val="baseline"/>
                <w:lang w:val="en-US" w:eastAsia="zh-CN" w:bidi="ar"/>
              </w:rPr>
              <w:t>合  格</w:t>
            </w:r>
            <w:r>
              <w:rPr>
                <w:rFonts w:hint="default" w:ascii="仿宋_GB2312" w:hAnsi="仿宋_GB2312" w:eastAsia="仿宋_GB2312" w:cs="仿宋_GB2312"/>
                <w:b w:val="0"/>
                <w:bCs w:val="0"/>
                <w:caps w:val="0"/>
                <w:color w:val="auto"/>
                <w:kern w:val="2"/>
                <w:sz w:val="24"/>
                <w:szCs w:val="24"/>
                <w:vertAlign w:val="baseline"/>
                <w:lang w:val="en-US" w:eastAsia="zh-CN" w:bidi="ar"/>
              </w:rPr>
              <w:sym w:font="Wingdings 2" w:char="00A3"/>
            </w:r>
          </w:p>
          <w:p w14:paraId="4D92E005">
            <w:pPr>
              <w:keepNext w:val="0"/>
              <w:keepLines w:val="0"/>
              <w:pageBreakBefore w:val="0"/>
              <w:widowControl/>
              <w:suppressLineNumbers w:val="0"/>
              <w:kinsoku/>
              <w:wordWrap/>
              <w:overflowPunct/>
              <w:topLinePunct w:val="0"/>
              <w:autoSpaceDE/>
              <w:autoSpaceDN w:val="0"/>
              <w:bidi w:val="0"/>
              <w:adjustRightInd/>
              <w:snapToGrid w:val="0"/>
              <w:spacing w:before="0" w:beforeAutospacing="0" w:after="0" w:afterAutospacing="0" w:line="360" w:lineRule="atLeast"/>
              <w:ind w:left="0" w:right="0" w:firstLine="0"/>
              <w:jc w:val="both"/>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kern w:val="2"/>
                <w:sz w:val="24"/>
                <w:szCs w:val="24"/>
                <w:vertAlign w:val="baseline"/>
                <w:lang w:val="en-US" w:eastAsia="zh-CN" w:bidi="ar"/>
              </w:rPr>
              <w:t>不合格</w:t>
            </w:r>
            <w:r>
              <w:rPr>
                <w:rFonts w:hint="default" w:ascii="仿宋_GB2312" w:hAnsi="仿宋_GB2312" w:eastAsia="仿宋_GB2312" w:cs="仿宋_GB2312"/>
                <w:b w:val="0"/>
                <w:bCs w:val="0"/>
                <w:caps w:val="0"/>
                <w:color w:val="auto"/>
                <w:kern w:val="2"/>
                <w:sz w:val="24"/>
                <w:szCs w:val="24"/>
                <w:vertAlign w:val="baseline"/>
                <w:lang w:val="en-US" w:eastAsia="zh-CN" w:bidi="ar"/>
              </w:rPr>
              <w:sym w:font="Wingdings 2" w:char="00A3"/>
            </w:r>
          </w:p>
        </w:tc>
      </w:tr>
      <w:tr w14:paraId="47DC1A7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01" w:hRule="atLeast"/>
        </w:trPr>
        <w:tc>
          <w:tcPr>
            <w:tcW w:w="5000" w:type="pct"/>
            <w:gridSpan w:val="5"/>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14:paraId="1598A4F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36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以上为基础指标，有一项不合格，审核结果即为不合格</w:t>
            </w:r>
          </w:p>
        </w:tc>
      </w:tr>
      <w:tr w14:paraId="2C86E15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120" w:hRule="atLeast"/>
        </w:trPr>
        <w:tc>
          <w:tcPr>
            <w:tcW w:w="272" w:type="pct"/>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14:paraId="4645ECA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36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1</w:t>
            </w:r>
          </w:p>
        </w:tc>
        <w:tc>
          <w:tcPr>
            <w:tcW w:w="661" w:type="pct"/>
            <w:tcBorders>
              <w:top w:val="single" w:color="auto" w:sz="6" w:space="0"/>
              <w:left w:val="nil"/>
              <w:bottom w:val="single" w:color="auto" w:sz="6" w:space="0"/>
              <w:right w:val="single" w:color="auto" w:sz="6" w:space="0"/>
            </w:tcBorders>
            <w:noWrap w:val="0"/>
            <w:tcMar>
              <w:top w:w="0" w:type="dxa"/>
              <w:left w:w="60" w:type="dxa"/>
              <w:bottom w:w="0" w:type="dxa"/>
              <w:right w:w="60" w:type="dxa"/>
            </w:tcMar>
            <w:vAlign w:val="center"/>
          </w:tcPr>
          <w:p w14:paraId="0A7F946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36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经营时间</w:t>
            </w:r>
          </w:p>
        </w:tc>
        <w:tc>
          <w:tcPr>
            <w:tcW w:w="3433" w:type="pct"/>
            <w:tcBorders>
              <w:top w:val="single" w:color="auto" w:sz="6" w:space="0"/>
              <w:left w:val="nil"/>
              <w:bottom w:val="single" w:color="auto" w:sz="6" w:space="0"/>
              <w:right w:val="single" w:color="auto" w:sz="6" w:space="0"/>
            </w:tcBorders>
            <w:noWrap w:val="0"/>
            <w:tcMar>
              <w:top w:w="0" w:type="dxa"/>
              <w:left w:w="60" w:type="dxa"/>
              <w:bottom w:w="0" w:type="dxa"/>
              <w:right w:w="60" w:type="dxa"/>
            </w:tcMar>
            <w:vAlign w:val="center"/>
          </w:tcPr>
          <w:p w14:paraId="4C3A4DC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360" w:lineRule="atLeast"/>
              <w:ind w:left="0" w:right="0" w:firstLine="0"/>
              <w:jc w:val="both"/>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在固定营业场所正常营业满1年得10分，满2年得15分，满3年及以上得20分。</w:t>
            </w:r>
          </w:p>
        </w:tc>
        <w:tc>
          <w:tcPr>
            <w:tcW w:w="632" w:type="pct"/>
            <w:gridSpan w:val="2"/>
            <w:tcBorders>
              <w:top w:val="single" w:color="auto" w:sz="6" w:space="0"/>
              <w:left w:val="nil"/>
              <w:bottom w:val="single" w:color="auto" w:sz="6" w:space="0"/>
              <w:right w:val="single" w:color="auto" w:sz="6" w:space="0"/>
            </w:tcBorders>
            <w:noWrap w:val="0"/>
            <w:vAlign w:val="center"/>
          </w:tcPr>
          <w:p w14:paraId="0A10050F">
            <w:pPr>
              <w:keepNext w:val="0"/>
              <w:keepLines w:val="0"/>
              <w:pageBreakBefore w:val="0"/>
              <w:widowControl/>
              <w:suppressLineNumbers w:val="0"/>
              <w:kinsoku/>
              <w:wordWrap/>
              <w:overflowPunct/>
              <w:topLinePunct w:val="0"/>
              <w:autoSpaceDE/>
              <w:autoSpaceDN w:val="0"/>
              <w:bidi w:val="0"/>
              <w:adjustRightInd/>
              <w:snapToGrid w:val="0"/>
              <w:spacing w:before="0" w:beforeAutospacing="0" w:after="0" w:afterAutospacing="0" w:line="360" w:lineRule="atLeast"/>
              <w:ind w:left="0" w:right="0" w:firstLine="0"/>
              <w:jc w:val="both"/>
              <w:rPr>
                <w:rFonts w:hint="eastAsia" w:ascii="仿宋_GB2312" w:hAnsi="仿宋_GB2312" w:eastAsia="仿宋_GB2312" w:cs="仿宋_GB2312"/>
                <w:b w:val="0"/>
                <w:bCs w:val="0"/>
                <w:caps w:val="0"/>
                <w:color w:val="auto"/>
                <w:sz w:val="24"/>
                <w:szCs w:val="24"/>
                <w:vertAlign w:val="baseline"/>
              </w:rPr>
            </w:pPr>
          </w:p>
        </w:tc>
      </w:tr>
      <w:tr w14:paraId="0806BB5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001" w:hRule="atLeast"/>
        </w:trPr>
        <w:tc>
          <w:tcPr>
            <w:tcW w:w="272" w:type="pct"/>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14:paraId="7E29DEA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36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2</w:t>
            </w:r>
          </w:p>
        </w:tc>
        <w:tc>
          <w:tcPr>
            <w:tcW w:w="661" w:type="pct"/>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6EA7529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36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医疗服务能力</w:t>
            </w:r>
          </w:p>
        </w:tc>
        <w:tc>
          <w:tcPr>
            <w:tcW w:w="3433" w:type="pct"/>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41B43EF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360" w:lineRule="atLeast"/>
              <w:ind w:left="0" w:right="0" w:firstLine="0"/>
              <w:jc w:val="both"/>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机构自身有医疗服务能力的</w:t>
            </w:r>
            <w:r>
              <w:rPr>
                <w:rFonts w:hint="eastAsia" w:ascii="仿宋_GB2312" w:hAnsi="仿宋_GB2312" w:eastAsia="仿宋_GB2312" w:cs="仿宋_GB2312"/>
                <w:caps w:val="0"/>
                <w:color w:val="auto"/>
                <w:sz w:val="24"/>
                <w:szCs w:val="24"/>
                <w:vertAlign w:val="baseline"/>
              </w:rPr>
              <w:t>，执业医师和护士</w:t>
            </w:r>
            <w:r>
              <w:rPr>
                <w:rFonts w:hint="eastAsia" w:ascii="仿宋_GB2312" w:hAnsi="仿宋_GB2312" w:eastAsia="仿宋_GB2312" w:cs="仿宋_GB2312"/>
                <w:caps w:val="0"/>
                <w:color w:val="auto"/>
                <w:sz w:val="24"/>
                <w:szCs w:val="24"/>
                <w:vertAlign w:val="baseline"/>
                <w:lang w:val="en-US" w:eastAsia="zh-CN"/>
              </w:rPr>
              <w:t>各不少于2人，</w:t>
            </w:r>
            <w:r>
              <w:rPr>
                <w:rFonts w:hint="eastAsia" w:ascii="仿宋_GB2312" w:hAnsi="仿宋_GB2312" w:eastAsia="仿宋_GB2312" w:cs="仿宋_GB2312"/>
                <w:caps w:val="0"/>
                <w:color w:val="auto"/>
                <w:sz w:val="24"/>
                <w:szCs w:val="24"/>
                <w:vertAlign w:val="baseline"/>
              </w:rPr>
              <w:t>得5分。每增加1 名医师或护士加1 分，最高得10分。</w:t>
            </w:r>
          </w:p>
        </w:tc>
        <w:tc>
          <w:tcPr>
            <w:tcW w:w="632" w:type="pct"/>
            <w:gridSpan w:val="2"/>
            <w:tcBorders>
              <w:top w:val="single" w:color="auto" w:sz="6" w:space="0"/>
              <w:left w:val="nil"/>
              <w:bottom w:val="single" w:color="auto" w:sz="6" w:space="0"/>
              <w:right w:val="single" w:color="auto" w:sz="6" w:space="0"/>
            </w:tcBorders>
            <w:noWrap w:val="0"/>
            <w:vAlign w:val="center"/>
          </w:tcPr>
          <w:p w14:paraId="79D00AA2">
            <w:pPr>
              <w:keepNext w:val="0"/>
              <w:keepLines w:val="0"/>
              <w:pageBreakBefore w:val="0"/>
              <w:widowControl/>
              <w:suppressLineNumbers w:val="0"/>
              <w:kinsoku/>
              <w:wordWrap/>
              <w:overflowPunct/>
              <w:topLinePunct w:val="0"/>
              <w:autoSpaceDE/>
              <w:autoSpaceDN w:val="0"/>
              <w:bidi w:val="0"/>
              <w:adjustRightInd/>
              <w:snapToGrid w:val="0"/>
              <w:spacing w:before="0" w:beforeAutospacing="0" w:after="0" w:afterAutospacing="0" w:line="360" w:lineRule="atLeast"/>
              <w:ind w:left="0" w:right="0" w:firstLine="0"/>
              <w:jc w:val="both"/>
              <w:rPr>
                <w:rFonts w:hint="eastAsia" w:ascii="仿宋_GB2312" w:hAnsi="仿宋_GB2312" w:eastAsia="仿宋_GB2312" w:cs="仿宋_GB2312"/>
                <w:b w:val="0"/>
                <w:bCs w:val="0"/>
                <w:caps w:val="0"/>
                <w:color w:val="auto"/>
                <w:sz w:val="24"/>
                <w:szCs w:val="24"/>
                <w:vertAlign w:val="baseline"/>
              </w:rPr>
            </w:pPr>
          </w:p>
        </w:tc>
      </w:tr>
      <w:tr w14:paraId="6AC89D3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034" w:hRule="atLeast"/>
        </w:trPr>
        <w:tc>
          <w:tcPr>
            <w:tcW w:w="272" w:type="pct"/>
            <w:tcBorders>
              <w:top w:val="nil"/>
              <w:left w:val="single" w:color="auto" w:sz="6" w:space="0"/>
              <w:bottom w:val="single" w:color="auto" w:sz="4" w:space="0"/>
              <w:right w:val="single" w:color="auto" w:sz="6" w:space="0"/>
            </w:tcBorders>
            <w:noWrap w:val="0"/>
            <w:tcMar>
              <w:top w:w="0" w:type="dxa"/>
              <w:left w:w="60" w:type="dxa"/>
              <w:bottom w:w="0" w:type="dxa"/>
              <w:right w:w="60" w:type="dxa"/>
            </w:tcMar>
            <w:vAlign w:val="center"/>
          </w:tcPr>
          <w:p w14:paraId="3387FA8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36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3</w:t>
            </w:r>
          </w:p>
        </w:tc>
        <w:tc>
          <w:tcPr>
            <w:tcW w:w="661" w:type="pct"/>
            <w:tcBorders>
              <w:top w:val="nil"/>
              <w:left w:val="nil"/>
              <w:bottom w:val="single" w:color="auto" w:sz="4" w:space="0"/>
              <w:right w:val="single" w:color="auto" w:sz="6" w:space="0"/>
            </w:tcBorders>
            <w:noWrap w:val="0"/>
            <w:tcMar>
              <w:top w:w="0" w:type="dxa"/>
              <w:left w:w="60" w:type="dxa"/>
              <w:bottom w:w="0" w:type="dxa"/>
              <w:right w:w="60" w:type="dxa"/>
            </w:tcMar>
            <w:vAlign w:val="center"/>
          </w:tcPr>
          <w:p w14:paraId="4E05475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36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护理床</w:t>
            </w:r>
          </w:p>
          <w:p w14:paraId="3A6A35E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36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位数</w:t>
            </w:r>
          </w:p>
        </w:tc>
        <w:tc>
          <w:tcPr>
            <w:tcW w:w="3433" w:type="pct"/>
            <w:tcBorders>
              <w:top w:val="nil"/>
              <w:left w:val="nil"/>
              <w:bottom w:val="single" w:color="auto" w:sz="4" w:space="0"/>
              <w:right w:val="single" w:color="auto" w:sz="6" w:space="0"/>
            </w:tcBorders>
            <w:noWrap w:val="0"/>
            <w:tcMar>
              <w:top w:w="0" w:type="dxa"/>
              <w:left w:w="60" w:type="dxa"/>
              <w:bottom w:w="0" w:type="dxa"/>
              <w:right w:w="60" w:type="dxa"/>
            </w:tcMar>
            <w:vAlign w:val="center"/>
          </w:tcPr>
          <w:p w14:paraId="49E5F4D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360" w:lineRule="atLeast"/>
              <w:ind w:left="0" w:right="0" w:firstLine="0"/>
              <w:jc w:val="both"/>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提供长期护理床位数</w:t>
            </w:r>
            <w:bookmarkStart w:id="0" w:name="_GoBack"/>
            <w:bookmarkEnd w:id="0"/>
            <w:r>
              <w:rPr>
                <w:rFonts w:hint="eastAsia" w:ascii="仿宋_GB2312" w:hAnsi="仿宋_GB2312" w:eastAsia="仿宋_GB2312" w:cs="仿宋_GB2312"/>
                <w:b w:val="0"/>
                <w:bCs w:val="0"/>
                <w:caps w:val="0"/>
                <w:color w:val="auto"/>
                <w:sz w:val="24"/>
                <w:szCs w:val="24"/>
                <w:vertAlign w:val="baseline"/>
              </w:rPr>
              <w:t>在20张</w:t>
            </w:r>
            <w:r>
              <w:rPr>
                <w:rFonts w:hint="eastAsia" w:ascii="仿宋_GB2312" w:hAnsi="仿宋_GB2312" w:eastAsia="仿宋_GB2312" w:cs="仿宋_GB2312"/>
                <w:b w:val="0"/>
                <w:bCs w:val="0"/>
                <w:caps w:val="0"/>
                <w:color w:val="auto"/>
                <w:sz w:val="24"/>
                <w:szCs w:val="24"/>
                <w:vertAlign w:val="baseline"/>
                <w:lang w:eastAsia="zh-CN"/>
              </w:rPr>
              <w:t>—</w:t>
            </w:r>
            <w:r>
              <w:rPr>
                <w:rFonts w:hint="eastAsia" w:ascii="仿宋_GB2312" w:hAnsi="仿宋_GB2312" w:eastAsia="仿宋_GB2312" w:cs="仿宋_GB2312"/>
                <w:b w:val="0"/>
                <w:bCs w:val="0"/>
                <w:caps w:val="0"/>
                <w:color w:val="auto"/>
                <w:sz w:val="24"/>
                <w:szCs w:val="24"/>
                <w:vertAlign w:val="baseline"/>
              </w:rPr>
              <w:t>50张（含）的，得10分；在50张</w:t>
            </w:r>
            <w:r>
              <w:rPr>
                <w:rFonts w:hint="eastAsia" w:ascii="仿宋_GB2312" w:hAnsi="仿宋_GB2312" w:eastAsia="仿宋_GB2312" w:cs="仿宋_GB2312"/>
                <w:b w:val="0"/>
                <w:bCs w:val="0"/>
                <w:caps w:val="0"/>
                <w:color w:val="auto"/>
                <w:sz w:val="24"/>
                <w:szCs w:val="24"/>
                <w:vertAlign w:val="baseline"/>
                <w:lang w:eastAsia="zh-CN"/>
              </w:rPr>
              <w:t>—</w:t>
            </w:r>
            <w:r>
              <w:rPr>
                <w:rFonts w:hint="eastAsia" w:ascii="仿宋_GB2312" w:hAnsi="仿宋_GB2312" w:eastAsia="仿宋_GB2312" w:cs="仿宋_GB2312"/>
                <w:b w:val="0"/>
                <w:bCs w:val="0"/>
                <w:caps w:val="0"/>
                <w:color w:val="auto"/>
                <w:sz w:val="24"/>
                <w:szCs w:val="24"/>
                <w:vertAlign w:val="baseline"/>
              </w:rPr>
              <w:t>100张（含）的，得20分；100张以上的，得30分。</w:t>
            </w:r>
          </w:p>
        </w:tc>
        <w:tc>
          <w:tcPr>
            <w:tcW w:w="632" w:type="pct"/>
            <w:gridSpan w:val="2"/>
            <w:tcBorders>
              <w:top w:val="single" w:color="auto" w:sz="6" w:space="0"/>
              <w:left w:val="nil"/>
              <w:bottom w:val="single" w:color="auto" w:sz="4" w:space="0"/>
              <w:right w:val="single" w:color="auto" w:sz="6" w:space="0"/>
            </w:tcBorders>
            <w:noWrap w:val="0"/>
            <w:vAlign w:val="center"/>
          </w:tcPr>
          <w:p w14:paraId="0615AB9D">
            <w:pPr>
              <w:keepNext w:val="0"/>
              <w:keepLines w:val="0"/>
              <w:pageBreakBefore w:val="0"/>
              <w:widowControl/>
              <w:suppressLineNumbers w:val="0"/>
              <w:kinsoku/>
              <w:wordWrap/>
              <w:overflowPunct/>
              <w:topLinePunct w:val="0"/>
              <w:autoSpaceDE/>
              <w:autoSpaceDN w:val="0"/>
              <w:bidi w:val="0"/>
              <w:adjustRightInd/>
              <w:snapToGrid w:val="0"/>
              <w:spacing w:before="0" w:beforeAutospacing="0" w:after="0" w:afterAutospacing="0" w:line="360" w:lineRule="atLeast"/>
              <w:ind w:left="0" w:right="0" w:firstLine="0"/>
              <w:jc w:val="both"/>
              <w:rPr>
                <w:rFonts w:hint="eastAsia" w:ascii="仿宋_GB2312" w:hAnsi="仿宋_GB2312" w:eastAsia="仿宋_GB2312" w:cs="仿宋_GB2312"/>
                <w:b w:val="0"/>
                <w:bCs w:val="0"/>
                <w:caps w:val="0"/>
                <w:color w:val="auto"/>
                <w:sz w:val="24"/>
                <w:szCs w:val="24"/>
                <w:vertAlign w:val="baseline"/>
              </w:rPr>
            </w:pPr>
          </w:p>
        </w:tc>
      </w:tr>
      <w:tr w14:paraId="34B9EF1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590" w:hRule="atLeast"/>
        </w:trPr>
        <w:tc>
          <w:tcPr>
            <w:tcW w:w="272" w:type="pct"/>
            <w:tcBorders>
              <w:top w:val="single" w:color="auto" w:sz="4" w:space="0"/>
              <w:left w:val="single" w:color="auto" w:sz="4" w:space="0"/>
              <w:bottom w:val="single" w:color="auto" w:sz="4" w:space="0"/>
              <w:right w:val="single" w:color="auto" w:sz="4" w:space="0"/>
            </w:tcBorders>
            <w:noWrap w:val="0"/>
            <w:tcMar>
              <w:top w:w="0" w:type="dxa"/>
              <w:left w:w="60" w:type="dxa"/>
              <w:bottom w:w="0" w:type="dxa"/>
              <w:right w:w="60" w:type="dxa"/>
            </w:tcMar>
            <w:vAlign w:val="center"/>
          </w:tcPr>
          <w:p w14:paraId="7F29C3A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36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4</w:t>
            </w:r>
          </w:p>
        </w:tc>
        <w:tc>
          <w:tcPr>
            <w:tcW w:w="661" w:type="pct"/>
            <w:tcBorders>
              <w:top w:val="single" w:color="auto" w:sz="4" w:space="0"/>
              <w:left w:val="single" w:color="auto" w:sz="4" w:space="0"/>
              <w:bottom w:val="single" w:color="auto" w:sz="4" w:space="0"/>
              <w:right w:val="single" w:color="auto" w:sz="4" w:space="0"/>
            </w:tcBorders>
            <w:noWrap w:val="0"/>
            <w:tcMar>
              <w:top w:w="0" w:type="dxa"/>
              <w:left w:w="60" w:type="dxa"/>
              <w:bottom w:w="0" w:type="dxa"/>
              <w:right w:w="60" w:type="dxa"/>
            </w:tcMar>
            <w:vAlign w:val="center"/>
          </w:tcPr>
          <w:p w14:paraId="075632D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36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人员配备</w:t>
            </w:r>
          </w:p>
        </w:tc>
        <w:tc>
          <w:tcPr>
            <w:tcW w:w="3433" w:type="pct"/>
            <w:tcBorders>
              <w:top w:val="single" w:color="auto" w:sz="4" w:space="0"/>
              <w:left w:val="single" w:color="auto" w:sz="4" w:space="0"/>
              <w:bottom w:val="single" w:color="auto" w:sz="4" w:space="0"/>
              <w:right w:val="single" w:color="auto" w:sz="4" w:space="0"/>
            </w:tcBorders>
            <w:noWrap w:val="0"/>
            <w:tcMar>
              <w:top w:w="0" w:type="dxa"/>
              <w:left w:w="60" w:type="dxa"/>
              <w:bottom w:w="0" w:type="dxa"/>
              <w:right w:w="60" w:type="dxa"/>
            </w:tcMar>
            <w:vAlign w:val="center"/>
          </w:tcPr>
          <w:p w14:paraId="2BD1964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360" w:lineRule="atLeast"/>
              <w:ind w:left="0" w:right="0" w:firstLine="0"/>
              <w:jc w:val="both"/>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医疗机构：长期护理病区或病房内的护理服务人员与护理床位配比达1:3的，得10分</w:t>
            </w:r>
            <w:r>
              <w:rPr>
                <w:rFonts w:hint="eastAsia" w:ascii="仿宋_GB2312" w:hAnsi="仿宋_GB2312" w:eastAsia="仿宋_GB2312" w:cs="仿宋_GB2312"/>
                <w:b w:val="0"/>
                <w:bCs w:val="0"/>
                <w:caps w:val="0"/>
                <w:color w:val="auto"/>
                <w:sz w:val="24"/>
                <w:szCs w:val="24"/>
                <w:vertAlign w:val="baseline"/>
                <w:lang w:eastAsia="zh-CN"/>
              </w:rPr>
              <w:t>；</w:t>
            </w:r>
            <w:r>
              <w:rPr>
                <w:rFonts w:hint="eastAsia" w:ascii="仿宋_GB2312" w:hAnsi="仿宋_GB2312" w:eastAsia="仿宋_GB2312" w:cs="仿宋_GB2312"/>
                <w:b w:val="0"/>
                <w:bCs w:val="0"/>
                <w:caps w:val="0"/>
                <w:color w:val="auto"/>
                <w:sz w:val="24"/>
                <w:szCs w:val="24"/>
                <w:vertAlign w:val="baseline"/>
              </w:rPr>
              <w:t>长期护理病区或病房内的护理服务人员与护理床位配比达1:3以上的，得20分。</w:t>
            </w:r>
          </w:p>
          <w:p w14:paraId="59568EF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360" w:lineRule="atLeast"/>
              <w:ind w:left="0" w:right="0" w:firstLine="0"/>
              <w:jc w:val="both"/>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养老机构、残疾人托养机构：长期护理服务专区内的护理服务人员与护理床位配比达1:2.5的，得10分</w:t>
            </w:r>
            <w:r>
              <w:rPr>
                <w:rFonts w:hint="eastAsia" w:ascii="仿宋_GB2312" w:hAnsi="仿宋_GB2312" w:eastAsia="仿宋_GB2312" w:cs="仿宋_GB2312"/>
                <w:b w:val="0"/>
                <w:bCs w:val="0"/>
                <w:caps w:val="0"/>
                <w:color w:val="auto"/>
                <w:sz w:val="24"/>
                <w:szCs w:val="24"/>
                <w:vertAlign w:val="baseline"/>
                <w:lang w:eastAsia="zh-CN"/>
              </w:rPr>
              <w:t>；</w:t>
            </w:r>
            <w:r>
              <w:rPr>
                <w:rFonts w:hint="eastAsia" w:ascii="仿宋_GB2312" w:hAnsi="仿宋_GB2312" w:eastAsia="仿宋_GB2312" w:cs="仿宋_GB2312"/>
                <w:b w:val="0"/>
                <w:bCs w:val="0"/>
                <w:caps w:val="0"/>
                <w:color w:val="auto"/>
                <w:sz w:val="24"/>
                <w:szCs w:val="24"/>
                <w:vertAlign w:val="baseline"/>
              </w:rPr>
              <w:t>长期护理服务专区内的护理服务人员与护理床位配比达1:2.5以上的，得20分。</w:t>
            </w:r>
          </w:p>
        </w:tc>
        <w:tc>
          <w:tcPr>
            <w:tcW w:w="632" w:type="pct"/>
            <w:gridSpan w:val="2"/>
            <w:tcBorders>
              <w:top w:val="single" w:color="auto" w:sz="4" w:space="0"/>
              <w:left w:val="single" w:color="auto" w:sz="4" w:space="0"/>
              <w:bottom w:val="single" w:color="auto" w:sz="4" w:space="0"/>
              <w:right w:val="single" w:color="auto" w:sz="4" w:space="0"/>
            </w:tcBorders>
            <w:noWrap w:val="0"/>
            <w:vAlign w:val="center"/>
          </w:tcPr>
          <w:p w14:paraId="05679A5D">
            <w:pPr>
              <w:keepNext w:val="0"/>
              <w:keepLines w:val="0"/>
              <w:pageBreakBefore w:val="0"/>
              <w:widowControl/>
              <w:suppressLineNumbers w:val="0"/>
              <w:kinsoku/>
              <w:wordWrap/>
              <w:overflowPunct/>
              <w:topLinePunct w:val="0"/>
              <w:autoSpaceDE/>
              <w:autoSpaceDN w:val="0"/>
              <w:bidi w:val="0"/>
              <w:adjustRightInd/>
              <w:snapToGrid w:val="0"/>
              <w:spacing w:before="0" w:beforeAutospacing="0" w:after="0" w:afterAutospacing="0" w:line="360" w:lineRule="atLeast"/>
              <w:ind w:left="0" w:right="0" w:firstLine="0"/>
              <w:jc w:val="both"/>
              <w:rPr>
                <w:rFonts w:hint="eastAsia" w:ascii="仿宋_GB2312" w:hAnsi="仿宋_GB2312" w:eastAsia="仿宋_GB2312" w:cs="仿宋_GB2312"/>
                <w:b w:val="0"/>
                <w:bCs w:val="0"/>
                <w:caps w:val="0"/>
                <w:color w:val="auto"/>
                <w:sz w:val="24"/>
                <w:szCs w:val="24"/>
                <w:vertAlign w:val="baseline"/>
              </w:rPr>
            </w:pPr>
          </w:p>
        </w:tc>
      </w:tr>
      <w:tr w14:paraId="72228A2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014" w:hRule="atLeast"/>
        </w:trPr>
        <w:tc>
          <w:tcPr>
            <w:tcW w:w="272" w:type="pct"/>
            <w:tcBorders>
              <w:top w:val="single" w:color="auto" w:sz="4" w:space="0"/>
              <w:left w:val="single" w:color="000000" w:sz="6" w:space="0"/>
              <w:bottom w:val="single" w:color="000000" w:sz="6" w:space="0"/>
              <w:right w:val="single" w:color="auto" w:sz="6" w:space="0"/>
            </w:tcBorders>
            <w:noWrap w:val="0"/>
            <w:tcMar>
              <w:top w:w="0" w:type="dxa"/>
              <w:left w:w="60" w:type="dxa"/>
              <w:bottom w:w="0" w:type="dxa"/>
              <w:right w:w="60" w:type="dxa"/>
            </w:tcMar>
            <w:vAlign w:val="center"/>
          </w:tcPr>
          <w:p w14:paraId="1B362F4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36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5</w:t>
            </w:r>
          </w:p>
        </w:tc>
        <w:tc>
          <w:tcPr>
            <w:tcW w:w="661" w:type="pct"/>
            <w:tcBorders>
              <w:top w:val="single" w:color="auto" w:sz="4" w:space="0"/>
              <w:left w:val="nil"/>
              <w:bottom w:val="single" w:color="000000" w:sz="6" w:space="0"/>
              <w:right w:val="single" w:color="auto" w:sz="6" w:space="0"/>
            </w:tcBorders>
            <w:noWrap w:val="0"/>
            <w:tcMar>
              <w:top w:w="0" w:type="dxa"/>
              <w:left w:w="60" w:type="dxa"/>
              <w:bottom w:w="0" w:type="dxa"/>
              <w:right w:w="60" w:type="dxa"/>
            </w:tcMar>
            <w:vAlign w:val="center"/>
          </w:tcPr>
          <w:p w14:paraId="5298CD2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36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持证服务率</w:t>
            </w:r>
          </w:p>
        </w:tc>
        <w:tc>
          <w:tcPr>
            <w:tcW w:w="3433" w:type="pct"/>
            <w:tcBorders>
              <w:top w:val="single" w:color="auto" w:sz="4" w:space="0"/>
              <w:left w:val="nil"/>
              <w:bottom w:val="single" w:color="000000" w:sz="6" w:space="0"/>
              <w:right w:val="single" w:color="000000" w:sz="6" w:space="0"/>
            </w:tcBorders>
            <w:noWrap w:val="0"/>
            <w:tcMar>
              <w:top w:w="0" w:type="dxa"/>
              <w:left w:w="60" w:type="dxa"/>
              <w:bottom w:w="0" w:type="dxa"/>
              <w:right w:w="60" w:type="dxa"/>
            </w:tcMar>
            <w:vAlign w:val="center"/>
          </w:tcPr>
          <w:p w14:paraId="1AEF6BA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360" w:lineRule="atLeast"/>
              <w:ind w:left="0" w:right="0" w:firstLine="0"/>
              <w:jc w:val="both"/>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机构的长期护理服务人员持有有效照护人员证书的，每有1人得1分，最高得10分。</w:t>
            </w:r>
          </w:p>
        </w:tc>
        <w:tc>
          <w:tcPr>
            <w:tcW w:w="632" w:type="pct"/>
            <w:gridSpan w:val="2"/>
            <w:tcBorders>
              <w:top w:val="single" w:color="auto" w:sz="4" w:space="0"/>
              <w:left w:val="single" w:color="000000" w:sz="6" w:space="0"/>
              <w:bottom w:val="single" w:color="auto" w:sz="6" w:space="0"/>
              <w:right w:val="single" w:color="auto" w:sz="6" w:space="0"/>
            </w:tcBorders>
            <w:noWrap w:val="0"/>
            <w:vAlign w:val="center"/>
          </w:tcPr>
          <w:p w14:paraId="616D6296">
            <w:pPr>
              <w:keepNext w:val="0"/>
              <w:keepLines w:val="0"/>
              <w:pageBreakBefore w:val="0"/>
              <w:widowControl/>
              <w:suppressLineNumbers w:val="0"/>
              <w:kinsoku/>
              <w:wordWrap/>
              <w:overflowPunct/>
              <w:topLinePunct w:val="0"/>
              <w:autoSpaceDE/>
              <w:autoSpaceDN w:val="0"/>
              <w:bidi w:val="0"/>
              <w:adjustRightInd/>
              <w:snapToGrid w:val="0"/>
              <w:spacing w:before="0" w:beforeAutospacing="0" w:after="0" w:afterAutospacing="0" w:line="360" w:lineRule="atLeast"/>
              <w:ind w:left="0" w:right="0" w:firstLine="0"/>
              <w:jc w:val="both"/>
              <w:rPr>
                <w:rFonts w:hint="eastAsia" w:ascii="仿宋_GB2312" w:hAnsi="仿宋_GB2312" w:eastAsia="仿宋_GB2312" w:cs="仿宋_GB2312"/>
                <w:b w:val="0"/>
                <w:bCs w:val="0"/>
                <w:caps w:val="0"/>
                <w:color w:val="auto"/>
                <w:sz w:val="24"/>
                <w:szCs w:val="24"/>
                <w:vertAlign w:val="baseline"/>
              </w:rPr>
            </w:pPr>
          </w:p>
        </w:tc>
      </w:tr>
      <w:tr w14:paraId="562C11F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065" w:hRule="atLeast"/>
        </w:trPr>
        <w:tc>
          <w:tcPr>
            <w:tcW w:w="272" w:type="pct"/>
            <w:tcBorders>
              <w:top w:val="single" w:color="000000" w:sz="6" w:space="0"/>
              <w:left w:val="single" w:color="000000" w:sz="6" w:space="0"/>
              <w:bottom w:val="single" w:color="000000" w:sz="6" w:space="0"/>
              <w:right w:val="single" w:color="000000" w:sz="6" w:space="0"/>
            </w:tcBorders>
            <w:noWrap w:val="0"/>
            <w:tcMar>
              <w:top w:w="0" w:type="dxa"/>
              <w:left w:w="60" w:type="dxa"/>
              <w:bottom w:w="0" w:type="dxa"/>
              <w:right w:w="60" w:type="dxa"/>
            </w:tcMar>
            <w:vAlign w:val="center"/>
          </w:tcPr>
          <w:p w14:paraId="3F670A5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36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6</w:t>
            </w:r>
          </w:p>
        </w:tc>
        <w:tc>
          <w:tcPr>
            <w:tcW w:w="661" w:type="pct"/>
            <w:tcBorders>
              <w:top w:val="single" w:color="000000" w:sz="6" w:space="0"/>
              <w:left w:val="single" w:color="000000" w:sz="6" w:space="0"/>
              <w:bottom w:val="single" w:color="000000" w:sz="6" w:space="0"/>
              <w:right w:val="single" w:color="000000" w:sz="6" w:space="0"/>
            </w:tcBorders>
            <w:noWrap w:val="0"/>
            <w:tcMar>
              <w:top w:w="0" w:type="dxa"/>
              <w:left w:w="60" w:type="dxa"/>
              <w:bottom w:w="0" w:type="dxa"/>
              <w:right w:w="60" w:type="dxa"/>
            </w:tcMar>
            <w:vAlign w:val="center"/>
          </w:tcPr>
          <w:p w14:paraId="279FE5F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360" w:lineRule="atLeast"/>
              <w:ind w:left="0" w:right="0" w:firstLine="0"/>
              <w:jc w:val="center"/>
              <w:rPr>
                <w:rFonts w:hint="eastAsia" w:ascii="仿宋_GB2312" w:hAnsi="仿宋_GB2312" w:eastAsia="仿宋_GB2312" w:cs="仿宋_GB2312"/>
                <w:b w:val="0"/>
                <w:bCs w:val="0"/>
                <w:caps w:val="0"/>
                <w:color w:val="auto"/>
                <w:sz w:val="24"/>
                <w:szCs w:val="24"/>
                <w:vertAlign w:val="baseline"/>
                <w:lang w:eastAsia="zh-CN"/>
              </w:rPr>
            </w:pPr>
            <w:r>
              <w:rPr>
                <w:rFonts w:hint="eastAsia" w:ascii="仿宋_GB2312" w:hAnsi="仿宋_GB2312" w:eastAsia="仿宋_GB2312" w:cs="仿宋_GB2312"/>
                <w:b w:val="0"/>
                <w:bCs w:val="0"/>
                <w:caps w:val="0"/>
                <w:color w:val="auto"/>
                <w:sz w:val="24"/>
                <w:szCs w:val="24"/>
                <w:vertAlign w:val="baseline"/>
                <w:lang w:eastAsia="zh-CN"/>
              </w:rPr>
              <w:t>制度建设</w:t>
            </w:r>
          </w:p>
        </w:tc>
        <w:tc>
          <w:tcPr>
            <w:tcW w:w="3433" w:type="pct"/>
            <w:tcBorders>
              <w:top w:val="single" w:color="000000" w:sz="6" w:space="0"/>
              <w:left w:val="single" w:color="000000" w:sz="6" w:space="0"/>
              <w:bottom w:val="single" w:color="000000" w:sz="6" w:space="0"/>
              <w:right w:val="single" w:color="000000" w:sz="6" w:space="0"/>
            </w:tcBorders>
            <w:noWrap w:val="0"/>
            <w:tcMar>
              <w:top w:w="0" w:type="dxa"/>
              <w:left w:w="60" w:type="dxa"/>
              <w:bottom w:w="0" w:type="dxa"/>
              <w:right w:w="60" w:type="dxa"/>
            </w:tcMar>
            <w:vAlign w:val="center"/>
          </w:tcPr>
          <w:p w14:paraId="691A7A5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360" w:lineRule="atLeast"/>
              <w:ind w:left="0" w:right="0" w:firstLine="0"/>
              <w:jc w:val="both"/>
              <w:rPr>
                <w:rFonts w:hint="default" w:ascii="仿宋_GB2312" w:hAnsi="仿宋_GB2312" w:eastAsia="仿宋_GB2312" w:cs="仿宋_GB2312"/>
                <w:b w:val="0"/>
                <w:bCs w:val="0"/>
                <w:caps w:val="0"/>
                <w:color w:val="auto"/>
                <w:sz w:val="24"/>
                <w:szCs w:val="24"/>
                <w:vertAlign w:val="baseline"/>
                <w:lang w:val="en-US" w:eastAsia="zh-CN"/>
              </w:rPr>
            </w:pPr>
            <w:r>
              <w:rPr>
                <w:rFonts w:hint="eastAsia" w:ascii="仿宋_GB2312" w:hAnsi="仿宋_GB2312" w:eastAsia="仿宋_GB2312" w:cs="仿宋_GB2312"/>
                <w:b w:val="0"/>
                <w:bCs w:val="0"/>
                <w:caps w:val="0"/>
                <w:color w:val="auto"/>
                <w:sz w:val="24"/>
                <w:szCs w:val="24"/>
                <w:vertAlign w:val="baseline"/>
                <w:lang w:val="en-US" w:eastAsia="zh-CN"/>
              </w:rPr>
              <w:t>1.内部管理制度在机构显著位置公示的，有一项得1分，最高得6分。2</w:t>
            </w:r>
            <w:r>
              <w:rPr>
                <w:rFonts w:hint="eastAsia" w:ascii="仿宋_GB2312" w:hAnsi="仿宋_GB2312" w:eastAsia="仿宋_GB2312" w:cs="仿宋_GB2312"/>
                <w:b w:val="0"/>
                <w:bCs w:val="0"/>
                <w:caps w:val="0"/>
                <w:color w:val="auto"/>
                <w:sz w:val="24"/>
                <w:szCs w:val="24"/>
                <w:vertAlign w:val="baseline"/>
                <w:lang w:val="en-US" w:eastAsia="zh"/>
              </w:rPr>
              <w:t>.</w:t>
            </w:r>
            <w:r>
              <w:rPr>
                <w:rFonts w:hint="eastAsia" w:ascii="仿宋_GB2312" w:hAnsi="仿宋_GB2312" w:eastAsia="仿宋_GB2312" w:cs="仿宋_GB2312"/>
                <w:b w:val="0"/>
                <w:bCs w:val="0"/>
                <w:caps w:val="0"/>
                <w:color w:val="auto"/>
                <w:sz w:val="24"/>
                <w:szCs w:val="24"/>
                <w:vertAlign w:val="baseline"/>
                <w:lang w:val="en-US" w:eastAsia="zh-CN"/>
              </w:rPr>
              <w:t>具备与长期护理保险管理相适应的应急管理制度、风险防控制度且在机构显著位置公示的，有一项得1分，最高得4分。</w:t>
            </w:r>
          </w:p>
        </w:tc>
        <w:tc>
          <w:tcPr>
            <w:tcW w:w="632" w:type="pct"/>
            <w:gridSpan w:val="2"/>
            <w:tcBorders>
              <w:top w:val="single" w:color="auto" w:sz="6" w:space="0"/>
              <w:left w:val="single" w:color="000000" w:sz="6" w:space="0"/>
              <w:bottom w:val="single" w:color="auto" w:sz="6" w:space="0"/>
              <w:right w:val="single" w:color="auto" w:sz="6" w:space="0"/>
            </w:tcBorders>
            <w:noWrap w:val="0"/>
            <w:vAlign w:val="center"/>
          </w:tcPr>
          <w:p w14:paraId="7BC6B383">
            <w:pPr>
              <w:keepNext w:val="0"/>
              <w:keepLines w:val="0"/>
              <w:pageBreakBefore w:val="0"/>
              <w:widowControl/>
              <w:suppressLineNumbers w:val="0"/>
              <w:kinsoku/>
              <w:wordWrap/>
              <w:overflowPunct/>
              <w:topLinePunct w:val="0"/>
              <w:autoSpaceDE/>
              <w:autoSpaceDN w:val="0"/>
              <w:bidi w:val="0"/>
              <w:adjustRightInd/>
              <w:snapToGrid w:val="0"/>
              <w:spacing w:before="0" w:beforeAutospacing="0" w:after="0" w:afterAutospacing="0" w:line="360" w:lineRule="atLeast"/>
              <w:ind w:left="0" w:right="0" w:firstLine="0"/>
              <w:jc w:val="both"/>
              <w:rPr>
                <w:rFonts w:hint="eastAsia" w:ascii="仿宋_GB2312" w:hAnsi="仿宋_GB2312" w:eastAsia="仿宋_GB2312" w:cs="仿宋_GB2312"/>
                <w:b w:val="0"/>
                <w:bCs w:val="0"/>
                <w:caps w:val="0"/>
                <w:color w:val="auto"/>
                <w:sz w:val="24"/>
                <w:szCs w:val="24"/>
                <w:vertAlign w:val="baseline"/>
              </w:rPr>
            </w:pPr>
          </w:p>
        </w:tc>
      </w:tr>
      <w:tr w14:paraId="5A72F27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24" w:hRule="atLeast"/>
        </w:trPr>
        <w:tc>
          <w:tcPr>
            <w:tcW w:w="4371" w:type="pct"/>
            <w:gridSpan w:val="4"/>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14:paraId="024BAFE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36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审核得分</w:t>
            </w:r>
          </w:p>
        </w:tc>
        <w:tc>
          <w:tcPr>
            <w:tcW w:w="628" w:type="pct"/>
            <w:tcBorders>
              <w:top w:val="nil"/>
              <w:left w:val="single" w:color="auto" w:sz="6" w:space="0"/>
              <w:bottom w:val="single" w:color="auto" w:sz="6" w:space="0"/>
              <w:right w:val="single" w:color="auto" w:sz="6" w:space="0"/>
            </w:tcBorders>
            <w:noWrap w:val="0"/>
            <w:vAlign w:val="center"/>
          </w:tcPr>
          <w:p w14:paraId="52B5BE2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36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p>
        </w:tc>
      </w:tr>
      <w:tr w14:paraId="7AA0D6C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rPr>
        <w:tc>
          <w:tcPr>
            <w:tcW w:w="5000" w:type="pct"/>
            <w:gridSpan w:val="5"/>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14:paraId="4DAE3C5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36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以上为差异化指标，根据得分择优确定。</w:t>
            </w:r>
          </w:p>
        </w:tc>
      </w:tr>
      <w:tr w14:paraId="55F794E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65" w:hRule="atLeast"/>
        </w:trPr>
        <w:tc>
          <w:tcPr>
            <w:tcW w:w="5000" w:type="pct"/>
            <w:gridSpan w:val="5"/>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14:paraId="1A478C7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360" w:lineRule="atLeast"/>
              <w:ind w:left="0" w:right="0" w:firstLine="240" w:firstLineChars="100"/>
              <w:jc w:val="both"/>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审核意见：</w:t>
            </w:r>
          </w:p>
          <w:p w14:paraId="0AB9985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36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p>
          <w:p w14:paraId="12BCFB7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36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p>
          <w:p w14:paraId="17EEBE4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36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p>
          <w:p w14:paraId="1858BCE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36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p>
          <w:p w14:paraId="1783AE9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36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审核人：                              年  月  日</w:t>
            </w:r>
          </w:p>
        </w:tc>
      </w:tr>
    </w:tbl>
    <w:p w14:paraId="60573EF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Style w:val="6"/>
          <w:rFonts w:hint="eastAsia" w:ascii="微软雅黑" w:hAnsi="微软雅黑" w:eastAsia="微软雅黑" w:cs="微软雅黑"/>
          <w:b/>
          <w:bCs/>
          <w:caps w:val="0"/>
          <w:color w:val="auto"/>
          <w:sz w:val="30"/>
          <w:szCs w:val="30"/>
          <w:vertAlign w:val="baseline"/>
        </w:rPr>
      </w:pPr>
    </w:p>
    <w:p w14:paraId="0A146AD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Style w:val="6"/>
          <w:rFonts w:hint="eastAsia" w:ascii="微软雅黑" w:hAnsi="微软雅黑" w:eastAsia="微软雅黑" w:cs="微软雅黑"/>
          <w:b/>
          <w:bCs/>
          <w:caps w:val="0"/>
          <w:color w:val="auto"/>
          <w:sz w:val="30"/>
          <w:szCs w:val="30"/>
          <w:vertAlign w:val="baseline"/>
        </w:rPr>
        <w:sectPr>
          <w:pgSz w:w="11906" w:h="16838"/>
          <w:pgMar w:top="1440" w:right="1286" w:bottom="1440" w:left="1800" w:header="851" w:footer="992" w:gutter="0"/>
          <w:cols w:space="720" w:num="1"/>
          <w:docGrid w:type="lines" w:linePitch="312" w:charSpace="0"/>
        </w:sectPr>
      </w:pPr>
    </w:p>
    <w:p w14:paraId="5D657AF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微软雅黑" w:hAnsi="微软雅黑" w:eastAsia="微软雅黑" w:cs="微软雅黑"/>
          <w:b w:val="0"/>
          <w:bCs w:val="0"/>
          <w:caps w:val="0"/>
          <w:color w:val="auto"/>
          <w:sz w:val="30"/>
          <w:szCs w:val="30"/>
          <w:vertAlign w:val="baseline"/>
        </w:rPr>
      </w:pPr>
      <w:r>
        <w:rPr>
          <w:rStyle w:val="6"/>
          <w:rFonts w:hint="eastAsia" w:ascii="微软雅黑" w:hAnsi="微软雅黑" w:eastAsia="微软雅黑" w:cs="微软雅黑"/>
          <w:b/>
          <w:bCs/>
          <w:caps w:val="0"/>
          <w:color w:val="auto"/>
          <w:sz w:val="30"/>
          <w:szCs w:val="30"/>
          <w:vertAlign w:val="baseline"/>
        </w:rPr>
        <w:t>长期护理保险定点护理服务机构（居家、社区护理）审核表</w:t>
      </w:r>
    </w:p>
    <w:p w14:paraId="6FC78D0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机构名称（盖章）：         地址：    </w:t>
      </w:r>
      <w:r>
        <w:rPr>
          <w:rFonts w:hint="eastAsia" w:ascii="仿宋_GB2312" w:hAnsi="仿宋_GB2312" w:eastAsia="仿宋_GB2312" w:cs="仿宋_GB2312"/>
          <w:b w:val="0"/>
          <w:bCs w:val="0"/>
          <w:caps w:val="0"/>
          <w:color w:val="auto"/>
          <w:sz w:val="24"/>
          <w:szCs w:val="24"/>
          <w:vertAlign w:val="baseline"/>
          <w:lang w:val="en-US" w:eastAsia="zh-CN"/>
        </w:rPr>
        <w:t xml:space="preserve">         </w:t>
      </w:r>
      <w:r>
        <w:rPr>
          <w:rFonts w:hint="eastAsia" w:ascii="仿宋_GB2312" w:hAnsi="仿宋_GB2312" w:eastAsia="仿宋_GB2312" w:cs="仿宋_GB2312"/>
          <w:b w:val="0"/>
          <w:bCs w:val="0"/>
          <w:caps w:val="0"/>
          <w:color w:val="auto"/>
          <w:sz w:val="24"/>
          <w:szCs w:val="24"/>
          <w:vertAlign w:val="baseline"/>
        </w:rPr>
        <w:t>   审核时间：</w:t>
      </w:r>
    </w:p>
    <w:tbl>
      <w:tblPr>
        <w:tblStyle w:val="4"/>
        <w:tblW w:w="4997" w:type="pct"/>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763"/>
        <w:gridCol w:w="1355"/>
        <w:gridCol w:w="5686"/>
        <w:gridCol w:w="1131"/>
      </w:tblGrid>
      <w:tr w14:paraId="51B53D5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975" w:hRule="atLeast"/>
        </w:trPr>
        <w:tc>
          <w:tcPr>
            <w:tcW w:w="427" w:type="pct"/>
            <w:tcBorders>
              <w:top w:val="single" w:color="auto" w:sz="6" w:space="0"/>
              <w:left w:val="single" w:color="auto" w:sz="6" w:space="0"/>
              <w:bottom w:val="single" w:color="auto" w:sz="6" w:space="0"/>
              <w:right w:val="single" w:color="auto" w:sz="6" w:space="0"/>
            </w:tcBorders>
            <w:noWrap w:val="0"/>
            <w:tcMar>
              <w:top w:w="0" w:type="dxa"/>
              <w:left w:w="60" w:type="dxa"/>
              <w:bottom w:w="0" w:type="dxa"/>
              <w:right w:w="60" w:type="dxa"/>
            </w:tcMar>
            <w:vAlign w:val="center"/>
          </w:tcPr>
          <w:p w14:paraId="170C3FE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autoSpaceDE/>
              <w:bidi w:val="0"/>
              <w:snapToGrid w:val="0"/>
              <w:spacing w:before="0" w:beforeAutospacing="0" w:after="0" w:afterAutospacing="0" w:line="400" w:lineRule="atLeast"/>
              <w:ind w:left="0" w:right="0" w:firstLine="0"/>
              <w:jc w:val="center"/>
              <w:rPr>
                <w:rFonts w:hint="eastAsia" w:ascii="黑体" w:hAnsi="宋体" w:eastAsia="黑体" w:cs="黑体"/>
                <w:b w:val="0"/>
                <w:bCs w:val="0"/>
                <w:caps w:val="0"/>
                <w:color w:val="auto"/>
                <w:sz w:val="24"/>
                <w:szCs w:val="24"/>
                <w:vertAlign w:val="baseline"/>
              </w:rPr>
            </w:pPr>
            <w:r>
              <w:rPr>
                <w:rFonts w:hint="eastAsia" w:ascii="黑体" w:hAnsi="宋体" w:eastAsia="黑体" w:cs="黑体"/>
                <w:b w:val="0"/>
                <w:bCs w:val="0"/>
                <w:caps w:val="0"/>
                <w:color w:val="auto"/>
                <w:sz w:val="24"/>
                <w:szCs w:val="24"/>
                <w:vertAlign w:val="baseline"/>
              </w:rPr>
              <w:t>序号</w:t>
            </w:r>
          </w:p>
        </w:tc>
        <w:tc>
          <w:tcPr>
            <w:tcW w:w="758" w:type="pct"/>
            <w:tcBorders>
              <w:top w:val="single" w:color="auto" w:sz="6" w:space="0"/>
              <w:left w:val="nil"/>
              <w:bottom w:val="single" w:color="auto" w:sz="6" w:space="0"/>
              <w:right w:val="single" w:color="auto" w:sz="6" w:space="0"/>
            </w:tcBorders>
            <w:noWrap w:val="0"/>
            <w:tcMar>
              <w:top w:w="0" w:type="dxa"/>
              <w:left w:w="60" w:type="dxa"/>
              <w:bottom w:w="0" w:type="dxa"/>
              <w:right w:w="60" w:type="dxa"/>
            </w:tcMar>
            <w:vAlign w:val="center"/>
          </w:tcPr>
          <w:p w14:paraId="46BE23F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autoSpaceDE/>
              <w:bidi w:val="0"/>
              <w:snapToGrid w:val="0"/>
              <w:spacing w:before="0" w:beforeAutospacing="0" w:after="0" w:afterAutospacing="0" w:line="400" w:lineRule="atLeast"/>
              <w:ind w:left="0" w:right="0" w:firstLine="0"/>
              <w:jc w:val="center"/>
              <w:rPr>
                <w:rFonts w:hint="eastAsia" w:ascii="黑体" w:hAnsi="宋体" w:eastAsia="黑体" w:cs="黑体"/>
                <w:b w:val="0"/>
                <w:bCs w:val="0"/>
                <w:caps w:val="0"/>
                <w:color w:val="auto"/>
                <w:sz w:val="24"/>
                <w:szCs w:val="24"/>
                <w:vertAlign w:val="baseline"/>
              </w:rPr>
            </w:pPr>
            <w:r>
              <w:rPr>
                <w:rFonts w:hint="eastAsia" w:ascii="黑体" w:hAnsi="宋体" w:eastAsia="黑体" w:cs="黑体"/>
                <w:b w:val="0"/>
                <w:bCs w:val="0"/>
                <w:caps w:val="0"/>
                <w:color w:val="auto"/>
                <w:sz w:val="24"/>
                <w:szCs w:val="24"/>
                <w:vertAlign w:val="baseline"/>
              </w:rPr>
              <w:t>审核指标</w:t>
            </w:r>
          </w:p>
        </w:tc>
        <w:tc>
          <w:tcPr>
            <w:tcW w:w="3182" w:type="pct"/>
            <w:tcBorders>
              <w:top w:val="single" w:color="auto" w:sz="6" w:space="0"/>
              <w:left w:val="nil"/>
              <w:bottom w:val="single" w:color="auto" w:sz="6" w:space="0"/>
              <w:right w:val="single" w:color="auto" w:sz="6" w:space="0"/>
            </w:tcBorders>
            <w:noWrap w:val="0"/>
            <w:tcMar>
              <w:top w:w="0" w:type="dxa"/>
              <w:left w:w="60" w:type="dxa"/>
              <w:bottom w:w="0" w:type="dxa"/>
              <w:right w:w="60" w:type="dxa"/>
            </w:tcMar>
            <w:vAlign w:val="center"/>
          </w:tcPr>
          <w:p w14:paraId="1AA5A80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autoSpaceDE/>
              <w:bidi w:val="0"/>
              <w:snapToGrid w:val="0"/>
              <w:spacing w:before="0" w:beforeAutospacing="0" w:after="0" w:afterAutospacing="0" w:line="400" w:lineRule="atLeast"/>
              <w:ind w:left="0" w:right="0" w:firstLine="0"/>
              <w:jc w:val="center"/>
              <w:rPr>
                <w:rFonts w:hint="eastAsia" w:ascii="黑体" w:hAnsi="宋体" w:eastAsia="黑体" w:cs="黑体"/>
                <w:b w:val="0"/>
                <w:bCs w:val="0"/>
                <w:caps w:val="0"/>
                <w:color w:val="auto"/>
                <w:sz w:val="24"/>
                <w:szCs w:val="24"/>
                <w:vertAlign w:val="baseline"/>
              </w:rPr>
            </w:pPr>
            <w:r>
              <w:rPr>
                <w:rFonts w:hint="eastAsia" w:ascii="黑体" w:hAnsi="宋体" w:eastAsia="黑体" w:cs="黑体"/>
                <w:b w:val="0"/>
                <w:bCs w:val="0"/>
                <w:caps w:val="0"/>
                <w:color w:val="auto"/>
                <w:sz w:val="24"/>
                <w:szCs w:val="24"/>
                <w:vertAlign w:val="baseline"/>
              </w:rPr>
              <w:t>审核标准</w:t>
            </w:r>
          </w:p>
        </w:tc>
        <w:tc>
          <w:tcPr>
            <w:tcW w:w="632" w:type="pct"/>
            <w:tcBorders>
              <w:top w:val="single" w:color="auto" w:sz="6" w:space="0"/>
              <w:left w:val="nil"/>
              <w:bottom w:val="single" w:color="auto" w:sz="6" w:space="0"/>
              <w:right w:val="single" w:color="auto" w:sz="6" w:space="0"/>
            </w:tcBorders>
            <w:noWrap w:val="0"/>
            <w:tcMar>
              <w:top w:w="0" w:type="dxa"/>
              <w:left w:w="60" w:type="dxa"/>
              <w:bottom w:w="0" w:type="dxa"/>
              <w:right w:w="60" w:type="dxa"/>
            </w:tcMar>
            <w:vAlign w:val="center"/>
          </w:tcPr>
          <w:p w14:paraId="770A7E6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autoSpaceDE/>
              <w:bidi w:val="0"/>
              <w:snapToGrid w:val="0"/>
              <w:spacing w:before="0" w:beforeAutospacing="0" w:after="0" w:afterAutospacing="0" w:line="400" w:lineRule="atLeast"/>
              <w:ind w:left="0" w:right="0" w:firstLine="0"/>
              <w:jc w:val="center"/>
              <w:rPr>
                <w:rFonts w:hint="eastAsia" w:ascii="黑体" w:hAnsi="宋体" w:eastAsia="黑体" w:cs="黑体"/>
                <w:b w:val="0"/>
                <w:bCs w:val="0"/>
                <w:caps w:val="0"/>
                <w:color w:val="auto"/>
                <w:sz w:val="24"/>
                <w:szCs w:val="24"/>
                <w:vertAlign w:val="baseline"/>
              </w:rPr>
            </w:pPr>
            <w:r>
              <w:rPr>
                <w:rFonts w:hint="eastAsia" w:ascii="黑体" w:hAnsi="宋体" w:eastAsia="黑体" w:cs="黑体"/>
                <w:b w:val="0"/>
                <w:bCs w:val="0"/>
                <w:caps w:val="0"/>
                <w:color w:val="auto"/>
                <w:sz w:val="24"/>
                <w:szCs w:val="24"/>
                <w:vertAlign w:val="baseline"/>
              </w:rPr>
              <w:t>审核情况</w:t>
            </w:r>
          </w:p>
        </w:tc>
      </w:tr>
      <w:tr w14:paraId="1B7662E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238" w:hRule="atLeast"/>
        </w:trPr>
        <w:tc>
          <w:tcPr>
            <w:tcW w:w="427" w:type="pct"/>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14:paraId="401C079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40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1</w:t>
            </w:r>
          </w:p>
        </w:tc>
        <w:tc>
          <w:tcPr>
            <w:tcW w:w="758" w:type="pct"/>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1D0F799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40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经营时间</w:t>
            </w:r>
          </w:p>
        </w:tc>
        <w:tc>
          <w:tcPr>
            <w:tcW w:w="3182" w:type="pct"/>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62F9B08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400" w:lineRule="atLeast"/>
              <w:ind w:left="0" w:right="0" w:firstLine="0"/>
              <w:jc w:val="both"/>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是否在固定营业场所正常营业（以执业许可证、设立许可证、备案时间、营业执照、民办非企业单位登记证书、事业单位法人证书为准，计算到申请当日</w:t>
            </w:r>
            <w:r>
              <w:rPr>
                <w:rFonts w:hint="eastAsia" w:ascii="仿宋_GB2312" w:hAnsi="仿宋_GB2312" w:eastAsia="仿宋_GB2312" w:cs="仿宋_GB2312"/>
                <w:b w:val="0"/>
                <w:bCs w:val="0"/>
                <w:caps w:val="0"/>
                <w:color w:val="auto"/>
                <w:sz w:val="24"/>
                <w:szCs w:val="24"/>
                <w:vertAlign w:val="baseline"/>
                <w:lang w:eastAsia="zh-CN"/>
              </w:rPr>
              <w:t>）</w:t>
            </w:r>
            <w:r>
              <w:rPr>
                <w:rFonts w:hint="eastAsia" w:ascii="仿宋_GB2312" w:hAnsi="仿宋_GB2312" w:eastAsia="仿宋_GB2312" w:cs="仿宋_GB2312"/>
                <w:b w:val="0"/>
                <w:bCs w:val="0"/>
                <w:caps w:val="0"/>
                <w:color w:val="auto"/>
                <w:sz w:val="24"/>
                <w:szCs w:val="24"/>
                <w:vertAlign w:val="baseline"/>
              </w:rPr>
              <w:t>3个月及以上，“否”即为不合格。</w:t>
            </w:r>
            <w:r>
              <w:rPr>
                <w:rFonts w:hint="eastAsia" w:ascii="仿宋_GB2312" w:hAnsi="仿宋_GB2312" w:eastAsia="仿宋_GB2312" w:cs="仿宋_GB2312"/>
                <w:b w:val="0"/>
                <w:bCs w:val="0"/>
                <w:caps w:val="0"/>
                <w:color w:val="auto"/>
                <w:sz w:val="24"/>
                <w:szCs w:val="24"/>
                <w:vertAlign w:val="baseline"/>
                <w:lang w:eastAsia="zh-CN"/>
              </w:rPr>
              <w:t>（</w:t>
            </w:r>
            <w:r>
              <w:rPr>
                <w:rFonts w:hint="eastAsia" w:ascii="仿宋_GB2312" w:hAnsi="仿宋_GB2312" w:eastAsia="仿宋_GB2312" w:cs="仿宋_GB2312"/>
                <w:b w:val="0"/>
                <w:bCs w:val="0"/>
                <w:caps w:val="0"/>
                <w:color w:val="auto"/>
                <w:sz w:val="24"/>
                <w:szCs w:val="24"/>
                <w:vertAlign w:val="baseline"/>
                <w:lang w:val="en-US" w:eastAsia="zh-CN"/>
              </w:rPr>
              <w:t>起步阶段原则上可不作为基本条件）。</w:t>
            </w:r>
          </w:p>
        </w:tc>
        <w:tc>
          <w:tcPr>
            <w:tcW w:w="632" w:type="pct"/>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17359B49">
            <w:pPr>
              <w:keepNext w:val="0"/>
              <w:keepLines w:val="0"/>
              <w:pageBreakBefore w:val="0"/>
              <w:widowControl w:val="0"/>
              <w:suppressLineNumbers w:val="0"/>
              <w:kinsoku w:val="0"/>
              <w:wordWrap/>
              <w:overflowPunct/>
              <w:topLinePunct w:val="0"/>
              <w:autoSpaceDE/>
              <w:autoSpaceDN w:val="0"/>
              <w:bidi w:val="0"/>
              <w:adjustRightInd w:val="0"/>
              <w:snapToGrid w:val="0"/>
              <w:spacing w:before="0" w:beforeAutospacing="0" w:after="0" w:afterAutospacing="0" w:line="400" w:lineRule="atLeast"/>
              <w:ind w:left="0" w:right="0" w:firstLine="0"/>
              <w:jc w:val="left"/>
              <w:textAlignment w:val="baseline"/>
              <w:rPr>
                <w:rFonts w:hint="eastAsia" w:ascii="仿宋_GB2312" w:hAnsi="仿宋_GB2312" w:eastAsia="仿宋_GB2312" w:cs="仿宋_GB2312"/>
                <w:caps w:val="0"/>
                <w:color w:val="auto"/>
                <w:kern w:val="2"/>
                <w:sz w:val="24"/>
                <w:szCs w:val="24"/>
                <w:vertAlign w:val="baseline"/>
                <w:lang w:val="en-US" w:eastAsia="zh-CN" w:bidi="ar"/>
              </w:rPr>
            </w:pPr>
            <w:r>
              <w:rPr>
                <w:rFonts w:hint="eastAsia" w:ascii="仿宋_GB2312" w:hAnsi="仿宋_GB2312" w:eastAsia="仿宋_GB2312" w:cs="仿宋_GB2312"/>
                <w:b w:val="0"/>
                <w:bCs w:val="0"/>
                <w:caps w:val="0"/>
                <w:color w:val="auto"/>
                <w:kern w:val="2"/>
                <w:sz w:val="24"/>
                <w:szCs w:val="24"/>
                <w:vertAlign w:val="baseline"/>
                <w:lang w:val="en-US" w:eastAsia="zh-CN" w:bidi="ar"/>
              </w:rPr>
              <w:t>合  格</w:t>
            </w:r>
            <w:r>
              <w:rPr>
                <w:rFonts w:hint="default" w:ascii="仿宋_GB2312" w:hAnsi="仿宋_GB2312" w:eastAsia="仿宋_GB2312" w:cs="仿宋_GB2312"/>
                <w:b w:val="0"/>
                <w:bCs w:val="0"/>
                <w:caps w:val="0"/>
                <w:color w:val="auto"/>
                <w:kern w:val="2"/>
                <w:sz w:val="24"/>
                <w:szCs w:val="24"/>
                <w:vertAlign w:val="baseline"/>
                <w:lang w:val="en-US" w:eastAsia="zh-CN" w:bidi="ar"/>
              </w:rPr>
              <w:sym w:font="Wingdings 2" w:char="00A3"/>
            </w:r>
          </w:p>
          <w:p w14:paraId="44C33EBB">
            <w:pPr>
              <w:keepNext w:val="0"/>
              <w:keepLines w:val="0"/>
              <w:pageBreakBefore w:val="0"/>
              <w:widowControl/>
              <w:suppressLineNumbers w:val="0"/>
              <w:kinsoku/>
              <w:wordWrap/>
              <w:overflowPunct/>
              <w:topLinePunct w:val="0"/>
              <w:autoSpaceDE/>
              <w:autoSpaceDN w:val="0"/>
              <w:bidi w:val="0"/>
              <w:adjustRightInd/>
              <w:snapToGrid w:val="0"/>
              <w:spacing w:before="0" w:beforeAutospacing="0" w:after="0" w:afterAutospacing="0" w:line="400" w:lineRule="atLeast"/>
              <w:ind w:left="0" w:right="0" w:firstLine="0"/>
              <w:jc w:val="both"/>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kern w:val="2"/>
                <w:sz w:val="24"/>
                <w:szCs w:val="24"/>
                <w:vertAlign w:val="baseline"/>
                <w:lang w:val="en-US" w:eastAsia="zh-CN" w:bidi="ar"/>
              </w:rPr>
              <w:t>不合格</w:t>
            </w:r>
            <w:r>
              <w:rPr>
                <w:rFonts w:hint="default" w:ascii="仿宋_GB2312" w:hAnsi="仿宋_GB2312" w:eastAsia="仿宋_GB2312" w:cs="仿宋_GB2312"/>
                <w:b w:val="0"/>
                <w:bCs w:val="0"/>
                <w:caps w:val="0"/>
                <w:color w:val="auto"/>
                <w:kern w:val="2"/>
                <w:sz w:val="24"/>
                <w:szCs w:val="24"/>
                <w:vertAlign w:val="baseline"/>
                <w:lang w:val="en-US" w:eastAsia="zh-CN" w:bidi="ar"/>
              </w:rPr>
              <w:sym w:font="Wingdings 2" w:char="00A3"/>
            </w:r>
          </w:p>
        </w:tc>
      </w:tr>
      <w:tr w14:paraId="729C2BF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90" w:hRule="atLeast"/>
        </w:trPr>
        <w:tc>
          <w:tcPr>
            <w:tcW w:w="427" w:type="pct"/>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14:paraId="7470485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40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2</w:t>
            </w:r>
          </w:p>
        </w:tc>
        <w:tc>
          <w:tcPr>
            <w:tcW w:w="758" w:type="pct"/>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088BD1B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40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法人资格</w:t>
            </w:r>
          </w:p>
        </w:tc>
        <w:tc>
          <w:tcPr>
            <w:tcW w:w="3182" w:type="pct"/>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4CF3A68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400" w:lineRule="atLeast"/>
              <w:ind w:left="0" w:right="0" w:firstLine="0"/>
              <w:jc w:val="both"/>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是否具备法人资格。“否”即为不合格。</w:t>
            </w:r>
          </w:p>
        </w:tc>
        <w:tc>
          <w:tcPr>
            <w:tcW w:w="632" w:type="pct"/>
            <w:tcBorders>
              <w:top w:val="single" w:color="auto" w:sz="6" w:space="0"/>
              <w:left w:val="nil"/>
              <w:bottom w:val="single" w:color="auto" w:sz="6" w:space="0"/>
              <w:right w:val="single" w:color="auto" w:sz="6" w:space="0"/>
            </w:tcBorders>
            <w:noWrap w:val="0"/>
            <w:tcMar>
              <w:top w:w="0" w:type="dxa"/>
              <w:left w:w="60" w:type="dxa"/>
              <w:bottom w:w="0" w:type="dxa"/>
              <w:right w:w="60" w:type="dxa"/>
            </w:tcMar>
            <w:vAlign w:val="center"/>
          </w:tcPr>
          <w:p w14:paraId="674D095F">
            <w:pPr>
              <w:keepNext w:val="0"/>
              <w:keepLines w:val="0"/>
              <w:pageBreakBefore w:val="0"/>
              <w:widowControl w:val="0"/>
              <w:suppressLineNumbers w:val="0"/>
              <w:kinsoku w:val="0"/>
              <w:wordWrap/>
              <w:overflowPunct/>
              <w:topLinePunct w:val="0"/>
              <w:autoSpaceDE/>
              <w:autoSpaceDN w:val="0"/>
              <w:bidi w:val="0"/>
              <w:adjustRightInd w:val="0"/>
              <w:snapToGrid w:val="0"/>
              <w:spacing w:before="0" w:beforeAutospacing="0" w:after="0" w:afterAutospacing="0" w:line="400" w:lineRule="atLeast"/>
              <w:ind w:left="0" w:right="0" w:firstLine="0"/>
              <w:jc w:val="left"/>
              <w:textAlignment w:val="baseline"/>
              <w:rPr>
                <w:rFonts w:hint="eastAsia" w:ascii="仿宋_GB2312" w:hAnsi="仿宋_GB2312" w:eastAsia="仿宋_GB2312" w:cs="仿宋_GB2312"/>
                <w:caps w:val="0"/>
                <w:color w:val="auto"/>
                <w:kern w:val="2"/>
                <w:sz w:val="24"/>
                <w:szCs w:val="24"/>
                <w:vertAlign w:val="baseline"/>
                <w:lang w:val="en-US" w:eastAsia="zh-CN" w:bidi="ar"/>
              </w:rPr>
            </w:pPr>
            <w:r>
              <w:rPr>
                <w:rFonts w:hint="eastAsia" w:ascii="仿宋_GB2312" w:hAnsi="仿宋_GB2312" w:eastAsia="仿宋_GB2312" w:cs="仿宋_GB2312"/>
                <w:b w:val="0"/>
                <w:bCs w:val="0"/>
                <w:caps w:val="0"/>
                <w:color w:val="auto"/>
                <w:kern w:val="2"/>
                <w:sz w:val="24"/>
                <w:szCs w:val="24"/>
                <w:vertAlign w:val="baseline"/>
                <w:lang w:val="en-US" w:eastAsia="zh-CN" w:bidi="ar"/>
              </w:rPr>
              <w:t>合  格</w:t>
            </w:r>
            <w:r>
              <w:rPr>
                <w:rFonts w:hint="default" w:ascii="仿宋_GB2312" w:hAnsi="仿宋_GB2312" w:eastAsia="仿宋_GB2312" w:cs="仿宋_GB2312"/>
                <w:b w:val="0"/>
                <w:bCs w:val="0"/>
                <w:caps w:val="0"/>
                <w:color w:val="auto"/>
                <w:kern w:val="2"/>
                <w:sz w:val="24"/>
                <w:szCs w:val="24"/>
                <w:vertAlign w:val="baseline"/>
                <w:lang w:val="en-US" w:eastAsia="zh-CN" w:bidi="ar"/>
              </w:rPr>
              <w:sym w:font="Wingdings 2" w:char="00A3"/>
            </w:r>
          </w:p>
          <w:p w14:paraId="1D1B5728">
            <w:pPr>
              <w:keepNext w:val="0"/>
              <w:keepLines w:val="0"/>
              <w:pageBreakBefore w:val="0"/>
              <w:widowControl/>
              <w:suppressLineNumbers w:val="0"/>
              <w:kinsoku/>
              <w:wordWrap/>
              <w:overflowPunct/>
              <w:topLinePunct w:val="0"/>
              <w:autoSpaceDE/>
              <w:autoSpaceDN w:val="0"/>
              <w:bidi w:val="0"/>
              <w:adjustRightInd/>
              <w:snapToGrid w:val="0"/>
              <w:spacing w:before="0" w:beforeAutospacing="0" w:after="0" w:afterAutospacing="0" w:line="400" w:lineRule="atLeast"/>
              <w:ind w:left="0" w:right="0" w:firstLine="0"/>
              <w:jc w:val="both"/>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kern w:val="2"/>
                <w:sz w:val="24"/>
                <w:szCs w:val="24"/>
                <w:vertAlign w:val="baseline"/>
                <w:lang w:val="en-US" w:eastAsia="zh-CN" w:bidi="ar"/>
              </w:rPr>
              <w:t>不合格</w:t>
            </w:r>
            <w:r>
              <w:rPr>
                <w:rFonts w:hint="default" w:ascii="仿宋_GB2312" w:hAnsi="仿宋_GB2312" w:eastAsia="仿宋_GB2312" w:cs="仿宋_GB2312"/>
                <w:b w:val="0"/>
                <w:bCs w:val="0"/>
                <w:caps w:val="0"/>
                <w:color w:val="auto"/>
                <w:kern w:val="2"/>
                <w:sz w:val="24"/>
                <w:szCs w:val="24"/>
                <w:vertAlign w:val="baseline"/>
                <w:lang w:val="en-US" w:eastAsia="zh-CN" w:bidi="ar"/>
              </w:rPr>
              <w:sym w:font="Wingdings 2" w:char="00A3"/>
            </w:r>
          </w:p>
        </w:tc>
      </w:tr>
      <w:tr w14:paraId="3DB190C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893" w:hRule="atLeast"/>
        </w:trPr>
        <w:tc>
          <w:tcPr>
            <w:tcW w:w="427" w:type="pct"/>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14:paraId="12331B5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40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3</w:t>
            </w:r>
          </w:p>
        </w:tc>
        <w:tc>
          <w:tcPr>
            <w:tcW w:w="758" w:type="pct"/>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50A5FE5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40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服务资质</w:t>
            </w:r>
          </w:p>
        </w:tc>
        <w:tc>
          <w:tcPr>
            <w:tcW w:w="3182" w:type="pct"/>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1EA25EA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400" w:lineRule="atLeast"/>
              <w:ind w:left="0" w:right="0" w:firstLine="0"/>
              <w:jc w:val="both"/>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是否具备行业主管部门认可的服务资质，有提供定期上门护理服务的能力，且符合</w:t>
            </w:r>
            <w:r>
              <w:rPr>
                <w:rFonts w:hint="eastAsia" w:ascii="仿宋_GB2312" w:hAnsi="仿宋_GB2312" w:eastAsia="仿宋_GB2312" w:cs="仿宋_GB2312"/>
                <w:caps w:val="0"/>
                <w:color w:val="auto"/>
                <w:sz w:val="24"/>
                <w:szCs w:val="24"/>
                <w:vertAlign w:val="baseline"/>
              </w:rPr>
              <w:t>《</w:t>
            </w:r>
            <w:r>
              <w:rPr>
                <w:rFonts w:hint="eastAsia" w:ascii="仿宋_GB2312" w:hAnsi="仿宋_GB2312" w:eastAsia="仿宋_GB2312" w:cs="仿宋_GB2312"/>
                <w:bCs/>
                <w:caps w:val="0"/>
                <w:color w:val="auto"/>
                <w:sz w:val="24"/>
                <w:szCs w:val="24"/>
                <w:vertAlign w:val="baseline"/>
              </w:rPr>
              <w:t>宁夏回族自治区长期护理保险护理服务机构定点管理</w:t>
            </w:r>
            <w:r>
              <w:rPr>
                <w:rFonts w:hint="eastAsia" w:ascii="仿宋_GB2312" w:hAnsi="仿宋_GB2312" w:eastAsia="仿宋_GB2312" w:cs="仿宋_GB2312"/>
                <w:caps w:val="0"/>
                <w:color w:val="auto"/>
                <w:sz w:val="24"/>
                <w:szCs w:val="24"/>
                <w:vertAlign w:val="baseline"/>
              </w:rPr>
              <w:t>实施细则》</w:t>
            </w:r>
            <w:r>
              <w:rPr>
                <w:rFonts w:hint="eastAsia" w:ascii="仿宋_GB2312" w:hAnsi="仿宋_GB2312" w:eastAsia="仿宋_GB2312" w:cs="仿宋_GB2312"/>
                <w:b w:val="0"/>
                <w:bCs w:val="0"/>
                <w:caps w:val="0"/>
                <w:color w:val="auto"/>
                <w:sz w:val="24"/>
                <w:szCs w:val="24"/>
                <w:vertAlign w:val="baseline"/>
              </w:rPr>
              <w:t>第七条条件之一。“否”即为不合格。</w:t>
            </w:r>
          </w:p>
        </w:tc>
        <w:tc>
          <w:tcPr>
            <w:tcW w:w="632" w:type="pct"/>
            <w:tcBorders>
              <w:top w:val="single" w:color="auto" w:sz="6" w:space="0"/>
              <w:left w:val="nil"/>
              <w:bottom w:val="single" w:color="auto" w:sz="6" w:space="0"/>
              <w:right w:val="single" w:color="auto" w:sz="6" w:space="0"/>
            </w:tcBorders>
            <w:noWrap w:val="0"/>
            <w:tcMar>
              <w:top w:w="0" w:type="dxa"/>
              <w:left w:w="60" w:type="dxa"/>
              <w:bottom w:w="0" w:type="dxa"/>
              <w:right w:w="60" w:type="dxa"/>
            </w:tcMar>
            <w:vAlign w:val="center"/>
          </w:tcPr>
          <w:p w14:paraId="49355EB7">
            <w:pPr>
              <w:keepNext w:val="0"/>
              <w:keepLines w:val="0"/>
              <w:pageBreakBefore w:val="0"/>
              <w:widowControl w:val="0"/>
              <w:suppressLineNumbers w:val="0"/>
              <w:kinsoku w:val="0"/>
              <w:wordWrap/>
              <w:overflowPunct/>
              <w:topLinePunct w:val="0"/>
              <w:autoSpaceDE/>
              <w:autoSpaceDN w:val="0"/>
              <w:bidi w:val="0"/>
              <w:adjustRightInd w:val="0"/>
              <w:snapToGrid w:val="0"/>
              <w:spacing w:before="0" w:beforeAutospacing="0" w:after="0" w:afterAutospacing="0" w:line="400" w:lineRule="atLeast"/>
              <w:ind w:left="0" w:right="0" w:firstLine="0"/>
              <w:jc w:val="left"/>
              <w:textAlignment w:val="baseline"/>
              <w:rPr>
                <w:rFonts w:hint="eastAsia" w:ascii="仿宋_GB2312" w:hAnsi="仿宋_GB2312" w:eastAsia="仿宋_GB2312" w:cs="仿宋_GB2312"/>
                <w:caps w:val="0"/>
                <w:color w:val="auto"/>
                <w:kern w:val="2"/>
                <w:sz w:val="24"/>
                <w:szCs w:val="24"/>
                <w:vertAlign w:val="baseline"/>
                <w:lang w:val="en-US" w:eastAsia="zh-CN" w:bidi="ar"/>
              </w:rPr>
            </w:pPr>
            <w:r>
              <w:rPr>
                <w:rFonts w:hint="eastAsia" w:ascii="仿宋_GB2312" w:hAnsi="仿宋_GB2312" w:eastAsia="仿宋_GB2312" w:cs="仿宋_GB2312"/>
                <w:b w:val="0"/>
                <w:bCs w:val="0"/>
                <w:caps w:val="0"/>
                <w:color w:val="auto"/>
                <w:kern w:val="2"/>
                <w:sz w:val="24"/>
                <w:szCs w:val="24"/>
                <w:vertAlign w:val="baseline"/>
                <w:lang w:val="en-US" w:eastAsia="zh-CN" w:bidi="ar"/>
              </w:rPr>
              <w:t>合  格</w:t>
            </w:r>
            <w:r>
              <w:rPr>
                <w:rFonts w:hint="default" w:ascii="仿宋_GB2312" w:hAnsi="仿宋_GB2312" w:eastAsia="仿宋_GB2312" w:cs="仿宋_GB2312"/>
                <w:b w:val="0"/>
                <w:bCs w:val="0"/>
                <w:caps w:val="0"/>
                <w:color w:val="auto"/>
                <w:kern w:val="2"/>
                <w:sz w:val="24"/>
                <w:szCs w:val="24"/>
                <w:vertAlign w:val="baseline"/>
                <w:lang w:val="en-US" w:eastAsia="zh-CN" w:bidi="ar"/>
              </w:rPr>
              <w:sym w:font="Wingdings 2" w:char="00A3"/>
            </w:r>
          </w:p>
          <w:p w14:paraId="4AA1CB75">
            <w:pPr>
              <w:keepNext w:val="0"/>
              <w:keepLines w:val="0"/>
              <w:pageBreakBefore w:val="0"/>
              <w:widowControl/>
              <w:suppressLineNumbers w:val="0"/>
              <w:kinsoku/>
              <w:wordWrap/>
              <w:overflowPunct/>
              <w:topLinePunct w:val="0"/>
              <w:autoSpaceDE/>
              <w:autoSpaceDN w:val="0"/>
              <w:bidi w:val="0"/>
              <w:adjustRightInd/>
              <w:snapToGrid w:val="0"/>
              <w:spacing w:before="0" w:beforeAutospacing="0" w:after="0" w:afterAutospacing="0" w:line="400" w:lineRule="atLeast"/>
              <w:ind w:left="0" w:right="0" w:firstLine="0"/>
              <w:jc w:val="both"/>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kern w:val="2"/>
                <w:sz w:val="24"/>
                <w:szCs w:val="24"/>
                <w:vertAlign w:val="baseline"/>
                <w:lang w:val="en-US" w:eastAsia="zh-CN" w:bidi="ar"/>
              </w:rPr>
              <w:t>不合格</w:t>
            </w:r>
            <w:r>
              <w:rPr>
                <w:rFonts w:hint="default" w:ascii="仿宋_GB2312" w:hAnsi="仿宋_GB2312" w:eastAsia="仿宋_GB2312" w:cs="仿宋_GB2312"/>
                <w:b w:val="0"/>
                <w:bCs w:val="0"/>
                <w:caps w:val="0"/>
                <w:color w:val="auto"/>
                <w:kern w:val="2"/>
                <w:sz w:val="24"/>
                <w:szCs w:val="24"/>
                <w:vertAlign w:val="baseline"/>
                <w:lang w:val="en-US" w:eastAsia="zh-CN" w:bidi="ar"/>
              </w:rPr>
              <w:sym w:font="Wingdings 2" w:char="00A3"/>
            </w:r>
          </w:p>
        </w:tc>
      </w:tr>
      <w:tr w14:paraId="4C5CBEC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075" w:hRule="atLeast"/>
        </w:trPr>
        <w:tc>
          <w:tcPr>
            <w:tcW w:w="427" w:type="pct"/>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14:paraId="0970B77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40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4</w:t>
            </w:r>
          </w:p>
        </w:tc>
        <w:tc>
          <w:tcPr>
            <w:tcW w:w="758" w:type="pct"/>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77BD3A6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40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基础配置</w:t>
            </w:r>
          </w:p>
        </w:tc>
        <w:tc>
          <w:tcPr>
            <w:tcW w:w="3182" w:type="pct"/>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2E80A8D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400" w:lineRule="atLeast"/>
              <w:ind w:left="0" w:right="0" w:firstLine="0"/>
              <w:jc w:val="both"/>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是否配备熟悉长期护理保险政策规定及要求的专（兼）职长护管理人员，服务能力在100（含）人以上的是否成立长护管理内设工作机构并配备专职管理人员；是否具备使用全国统一的医保信息平台、与医保信息平台长期护理保险功能模块按接口标准进行对接等条件，并配备相应的专业技术人员。其中一项为“否”即为不合格。</w:t>
            </w:r>
          </w:p>
        </w:tc>
        <w:tc>
          <w:tcPr>
            <w:tcW w:w="632" w:type="pct"/>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094AA58C">
            <w:pPr>
              <w:keepNext w:val="0"/>
              <w:keepLines w:val="0"/>
              <w:pageBreakBefore w:val="0"/>
              <w:widowControl w:val="0"/>
              <w:suppressLineNumbers w:val="0"/>
              <w:kinsoku w:val="0"/>
              <w:wordWrap/>
              <w:overflowPunct/>
              <w:topLinePunct w:val="0"/>
              <w:autoSpaceDE/>
              <w:autoSpaceDN w:val="0"/>
              <w:bidi w:val="0"/>
              <w:adjustRightInd w:val="0"/>
              <w:snapToGrid w:val="0"/>
              <w:spacing w:before="0" w:beforeAutospacing="0" w:after="0" w:afterAutospacing="0" w:line="400" w:lineRule="atLeast"/>
              <w:ind w:left="0" w:right="0" w:firstLine="0"/>
              <w:jc w:val="left"/>
              <w:textAlignment w:val="baseline"/>
              <w:rPr>
                <w:rFonts w:hint="eastAsia" w:ascii="仿宋_GB2312" w:hAnsi="仿宋_GB2312" w:eastAsia="仿宋_GB2312" w:cs="仿宋_GB2312"/>
                <w:caps w:val="0"/>
                <w:color w:val="auto"/>
                <w:kern w:val="2"/>
                <w:sz w:val="24"/>
                <w:szCs w:val="24"/>
                <w:vertAlign w:val="baseline"/>
                <w:lang w:val="en-US" w:eastAsia="zh-CN" w:bidi="ar"/>
              </w:rPr>
            </w:pPr>
            <w:r>
              <w:rPr>
                <w:rFonts w:hint="eastAsia" w:ascii="仿宋_GB2312" w:hAnsi="仿宋_GB2312" w:eastAsia="仿宋_GB2312" w:cs="仿宋_GB2312"/>
                <w:b w:val="0"/>
                <w:bCs w:val="0"/>
                <w:caps w:val="0"/>
                <w:color w:val="auto"/>
                <w:kern w:val="2"/>
                <w:sz w:val="24"/>
                <w:szCs w:val="24"/>
                <w:vertAlign w:val="baseline"/>
                <w:lang w:val="en-US" w:eastAsia="zh-CN" w:bidi="ar"/>
              </w:rPr>
              <w:t>合  格</w:t>
            </w:r>
            <w:r>
              <w:rPr>
                <w:rFonts w:hint="default" w:ascii="仿宋_GB2312" w:hAnsi="仿宋_GB2312" w:eastAsia="仿宋_GB2312" w:cs="仿宋_GB2312"/>
                <w:b w:val="0"/>
                <w:bCs w:val="0"/>
                <w:caps w:val="0"/>
                <w:color w:val="auto"/>
                <w:kern w:val="2"/>
                <w:sz w:val="24"/>
                <w:szCs w:val="24"/>
                <w:vertAlign w:val="baseline"/>
                <w:lang w:val="en-US" w:eastAsia="zh-CN" w:bidi="ar"/>
              </w:rPr>
              <w:sym w:font="Wingdings 2" w:char="00A3"/>
            </w:r>
          </w:p>
          <w:p w14:paraId="799CF560">
            <w:pPr>
              <w:keepNext w:val="0"/>
              <w:keepLines w:val="0"/>
              <w:pageBreakBefore w:val="0"/>
              <w:widowControl/>
              <w:suppressLineNumbers w:val="0"/>
              <w:kinsoku/>
              <w:wordWrap/>
              <w:overflowPunct/>
              <w:topLinePunct w:val="0"/>
              <w:autoSpaceDE/>
              <w:autoSpaceDN w:val="0"/>
              <w:bidi w:val="0"/>
              <w:adjustRightInd/>
              <w:snapToGrid w:val="0"/>
              <w:spacing w:before="0" w:beforeAutospacing="0" w:after="0" w:afterAutospacing="0" w:line="400" w:lineRule="atLeast"/>
              <w:ind w:left="0" w:right="0" w:firstLine="0"/>
              <w:jc w:val="both"/>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kern w:val="2"/>
                <w:sz w:val="24"/>
                <w:szCs w:val="24"/>
                <w:vertAlign w:val="baseline"/>
                <w:lang w:val="en-US" w:eastAsia="zh-CN" w:bidi="ar"/>
              </w:rPr>
              <w:t>不合格</w:t>
            </w:r>
            <w:r>
              <w:rPr>
                <w:rFonts w:hint="default" w:ascii="仿宋_GB2312" w:hAnsi="仿宋_GB2312" w:eastAsia="仿宋_GB2312" w:cs="仿宋_GB2312"/>
                <w:b w:val="0"/>
                <w:bCs w:val="0"/>
                <w:caps w:val="0"/>
                <w:color w:val="auto"/>
                <w:kern w:val="2"/>
                <w:sz w:val="24"/>
                <w:szCs w:val="24"/>
                <w:vertAlign w:val="baseline"/>
                <w:lang w:val="en-US" w:eastAsia="zh-CN" w:bidi="ar"/>
              </w:rPr>
              <w:sym w:font="Wingdings 2" w:char="00A3"/>
            </w:r>
          </w:p>
        </w:tc>
      </w:tr>
      <w:tr w14:paraId="2CED7E0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523" w:hRule="atLeast"/>
        </w:trPr>
        <w:tc>
          <w:tcPr>
            <w:tcW w:w="427" w:type="pct"/>
            <w:tcBorders>
              <w:top w:val="single" w:color="auto" w:sz="6" w:space="0"/>
              <w:left w:val="single" w:color="auto" w:sz="6" w:space="0"/>
              <w:bottom w:val="single" w:color="auto" w:sz="6" w:space="0"/>
              <w:right w:val="single" w:color="auto" w:sz="6" w:space="0"/>
            </w:tcBorders>
            <w:noWrap w:val="0"/>
            <w:tcMar>
              <w:top w:w="0" w:type="dxa"/>
              <w:left w:w="60" w:type="dxa"/>
              <w:bottom w:w="0" w:type="dxa"/>
              <w:right w:w="60" w:type="dxa"/>
            </w:tcMar>
            <w:vAlign w:val="center"/>
          </w:tcPr>
          <w:p w14:paraId="1F5BA2B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40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5</w:t>
            </w:r>
          </w:p>
        </w:tc>
        <w:tc>
          <w:tcPr>
            <w:tcW w:w="758" w:type="pct"/>
            <w:tcBorders>
              <w:top w:val="single" w:color="auto" w:sz="6" w:space="0"/>
              <w:left w:val="single" w:color="auto" w:sz="6" w:space="0"/>
              <w:bottom w:val="single" w:color="auto" w:sz="6" w:space="0"/>
              <w:right w:val="single" w:color="auto" w:sz="6" w:space="0"/>
            </w:tcBorders>
            <w:noWrap w:val="0"/>
            <w:tcMar>
              <w:top w:w="0" w:type="dxa"/>
              <w:left w:w="60" w:type="dxa"/>
              <w:bottom w:w="0" w:type="dxa"/>
              <w:right w:w="60" w:type="dxa"/>
            </w:tcMar>
            <w:vAlign w:val="center"/>
          </w:tcPr>
          <w:p w14:paraId="03F0B0B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40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制度建设</w:t>
            </w:r>
          </w:p>
        </w:tc>
        <w:tc>
          <w:tcPr>
            <w:tcW w:w="3182" w:type="pct"/>
            <w:tcBorders>
              <w:top w:val="single" w:color="auto" w:sz="6" w:space="0"/>
              <w:left w:val="single" w:color="auto" w:sz="6" w:space="0"/>
              <w:bottom w:val="single" w:color="auto" w:sz="6" w:space="0"/>
              <w:right w:val="single" w:color="auto" w:sz="6" w:space="0"/>
            </w:tcBorders>
            <w:noWrap w:val="0"/>
            <w:tcMar>
              <w:top w:w="0" w:type="dxa"/>
              <w:left w:w="60" w:type="dxa"/>
              <w:bottom w:w="0" w:type="dxa"/>
              <w:right w:w="60" w:type="dxa"/>
            </w:tcMar>
            <w:vAlign w:val="center"/>
          </w:tcPr>
          <w:p w14:paraId="6D88BB8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400" w:lineRule="atLeast"/>
              <w:ind w:left="0" w:right="0" w:firstLine="0"/>
              <w:jc w:val="both"/>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是否建立与长护险管理相适应的内部管理制度，包括服务管理、财务管理、信息统计、内控管理、人员管理、档案管理等制度。“否”即为不合格。</w:t>
            </w:r>
          </w:p>
        </w:tc>
        <w:tc>
          <w:tcPr>
            <w:tcW w:w="632" w:type="pct"/>
            <w:tcBorders>
              <w:top w:val="single" w:color="auto" w:sz="6" w:space="0"/>
              <w:left w:val="nil"/>
              <w:bottom w:val="single" w:color="auto" w:sz="6" w:space="0"/>
              <w:right w:val="single" w:color="auto" w:sz="6" w:space="0"/>
            </w:tcBorders>
            <w:noWrap w:val="0"/>
            <w:tcMar>
              <w:top w:w="0" w:type="dxa"/>
              <w:left w:w="60" w:type="dxa"/>
              <w:bottom w:w="0" w:type="dxa"/>
              <w:right w:w="60" w:type="dxa"/>
            </w:tcMar>
            <w:vAlign w:val="center"/>
          </w:tcPr>
          <w:p w14:paraId="3AF142F6">
            <w:pPr>
              <w:keepNext w:val="0"/>
              <w:keepLines w:val="0"/>
              <w:pageBreakBefore w:val="0"/>
              <w:widowControl w:val="0"/>
              <w:suppressLineNumbers w:val="0"/>
              <w:kinsoku w:val="0"/>
              <w:wordWrap/>
              <w:overflowPunct/>
              <w:topLinePunct w:val="0"/>
              <w:autoSpaceDE/>
              <w:autoSpaceDN w:val="0"/>
              <w:bidi w:val="0"/>
              <w:adjustRightInd w:val="0"/>
              <w:snapToGrid w:val="0"/>
              <w:spacing w:before="0" w:beforeAutospacing="0" w:after="0" w:afterAutospacing="0" w:line="400" w:lineRule="atLeast"/>
              <w:ind w:left="0" w:right="0" w:firstLine="0"/>
              <w:jc w:val="left"/>
              <w:textAlignment w:val="baseline"/>
              <w:rPr>
                <w:rFonts w:hint="eastAsia" w:ascii="仿宋_GB2312" w:hAnsi="仿宋_GB2312" w:eastAsia="仿宋_GB2312" w:cs="仿宋_GB2312"/>
                <w:caps w:val="0"/>
                <w:color w:val="auto"/>
                <w:kern w:val="2"/>
                <w:sz w:val="24"/>
                <w:szCs w:val="24"/>
                <w:vertAlign w:val="baseline"/>
                <w:lang w:val="en-US" w:eastAsia="zh-CN" w:bidi="ar"/>
              </w:rPr>
            </w:pPr>
            <w:r>
              <w:rPr>
                <w:rFonts w:hint="eastAsia" w:ascii="仿宋_GB2312" w:hAnsi="仿宋_GB2312" w:eastAsia="仿宋_GB2312" w:cs="仿宋_GB2312"/>
                <w:b w:val="0"/>
                <w:bCs w:val="0"/>
                <w:caps w:val="0"/>
                <w:color w:val="auto"/>
                <w:kern w:val="2"/>
                <w:sz w:val="24"/>
                <w:szCs w:val="24"/>
                <w:vertAlign w:val="baseline"/>
                <w:lang w:val="en-US" w:eastAsia="zh-CN" w:bidi="ar"/>
              </w:rPr>
              <w:t>合  格</w:t>
            </w:r>
            <w:r>
              <w:rPr>
                <w:rFonts w:hint="default" w:ascii="仿宋_GB2312" w:hAnsi="仿宋_GB2312" w:eastAsia="仿宋_GB2312" w:cs="仿宋_GB2312"/>
                <w:b w:val="0"/>
                <w:bCs w:val="0"/>
                <w:caps w:val="0"/>
                <w:color w:val="auto"/>
                <w:kern w:val="2"/>
                <w:sz w:val="24"/>
                <w:szCs w:val="24"/>
                <w:vertAlign w:val="baseline"/>
                <w:lang w:val="en-US" w:eastAsia="zh-CN" w:bidi="ar"/>
              </w:rPr>
              <w:sym w:font="Wingdings 2" w:char="00A3"/>
            </w:r>
          </w:p>
          <w:p w14:paraId="079823D0">
            <w:pPr>
              <w:keepNext w:val="0"/>
              <w:keepLines w:val="0"/>
              <w:pageBreakBefore w:val="0"/>
              <w:widowControl/>
              <w:suppressLineNumbers w:val="0"/>
              <w:kinsoku/>
              <w:wordWrap/>
              <w:overflowPunct/>
              <w:topLinePunct w:val="0"/>
              <w:autoSpaceDE/>
              <w:autoSpaceDN w:val="0"/>
              <w:bidi w:val="0"/>
              <w:adjustRightInd/>
              <w:snapToGrid w:val="0"/>
              <w:spacing w:before="0" w:beforeAutospacing="0" w:after="0" w:afterAutospacing="0" w:line="400" w:lineRule="atLeast"/>
              <w:ind w:left="0" w:right="0" w:firstLine="0"/>
              <w:jc w:val="both"/>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kern w:val="2"/>
                <w:sz w:val="24"/>
                <w:szCs w:val="24"/>
                <w:vertAlign w:val="baseline"/>
                <w:lang w:val="en-US" w:eastAsia="zh-CN" w:bidi="ar"/>
              </w:rPr>
              <w:t>不合格</w:t>
            </w:r>
            <w:r>
              <w:rPr>
                <w:rFonts w:hint="default" w:ascii="仿宋_GB2312" w:hAnsi="仿宋_GB2312" w:eastAsia="仿宋_GB2312" w:cs="仿宋_GB2312"/>
                <w:b w:val="0"/>
                <w:bCs w:val="0"/>
                <w:caps w:val="0"/>
                <w:color w:val="auto"/>
                <w:kern w:val="2"/>
                <w:sz w:val="24"/>
                <w:szCs w:val="24"/>
                <w:vertAlign w:val="baseline"/>
                <w:lang w:val="en-US" w:eastAsia="zh-CN" w:bidi="ar"/>
              </w:rPr>
              <w:sym w:font="Wingdings 2" w:char="00A3"/>
            </w:r>
          </w:p>
        </w:tc>
      </w:tr>
      <w:tr w14:paraId="7A35352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915" w:hRule="atLeast"/>
        </w:trPr>
        <w:tc>
          <w:tcPr>
            <w:tcW w:w="427" w:type="pct"/>
            <w:tcBorders>
              <w:top w:val="single" w:color="auto" w:sz="6" w:space="0"/>
              <w:left w:val="single" w:color="auto" w:sz="6" w:space="0"/>
              <w:bottom w:val="single" w:color="auto" w:sz="4" w:space="0"/>
              <w:right w:val="single" w:color="auto" w:sz="6" w:space="0"/>
            </w:tcBorders>
            <w:noWrap w:val="0"/>
            <w:tcMar>
              <w:top w:w="0" w:type="dxa"/>
              <w:left w:w="60" w:type="dxa"/>
              <w:bottom w:w="0" w:type="dxa"/>
              <w:right w:w="60" w:type="dxa"/>
            </w:tcMar>
            <w:vAlign w:val="center"/>
          </w:tcPr>
          <w:p w14:paraId="3F208D5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40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6</w:t>
            </w:r>
          </w:p>
        </w:tc>
        <w:tc>
          <w:tcPr>
            <w:tcW w:w="758" w:type="pct"/>
            <w:tcBorders>
              <w:top w:val="single" w:color="auto" w:sz="6" w:space="0"/>
              <w:left w:val="nil"/>
              <w:bottom w:val="single" w:color="auto" w:sz="4" w:space="0"/>
              <w:right w:val="single" w:color="auto" w:sz="6" w:space="0"/>
            </w:tcBorders>
            <w:noWrap w:val="0"/>
            <w:tcMar>
              <w:top w:w="0" w:type="dxa"/>
              <w:left w:w="60" w:type="dxa"/>
              <w:bottom w:w="0" w:type="dxa"/>
              <w:right w:w="60" w:type="dxa"/>
            </w:tcMar>
            <w:vAlign w:val="center"/>
          </w:tcPr>
          <w:p w14:paraId="6B6428D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40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规范经营</w:t>
            </w:r>
          </w:p>
        </w:tc>
        <w:tc>
          <w:tcPr>
            <w:tcW w:w="3182" w:type="pct"/>
            <w:tcBorders>
              <w:top w:val="single" w:color="auto" w:sz="6" w:space="0"/>
              <w:left w:val="nil"/>
              <w:bottom w:val="single" w:color="auto" w:sz="4" w:space="0"/>
              <w:right w:val="single" w:color="auto" w:sz="6" w:space="0"/>
            </w:tcBorders>
            <w:noWrap w:val="0"/>
            <w:tcMar>
              <w:top w:w="0" w:type="dxa"/>
              <w:left w:w="60" w:type="dxa"/>
              <w:bottom w:w="0" w:type="dxa"/>
              <w:right w:w="60" w:type="dxa"/>
            </w:tcMar>
            <w:vAlign w:val="center"/>
          </w:tcPr>
          <w:p w14:paraId="22F6F66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400" w:lineRule="atLeast"/>
              <w:ind w:left="0" w:right="0" w:firstLine="0"/>
              <w:jc w:val="both"/>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是否遵守国家、省、市有关法律法规和政策规定及服务标准和规范；是否规范经营，近二年内（不足一年的自开业以来）未因医疗服务、养老服务等行为而受到相关行政部门处罚</w:t>
            </w:r>
            <w:r>
              <w:rPr>
                <w:rFonts w:hint="eastAsia" w:ascii="仿宋_GB2312" w:hAnsi="仿宋_GB2312" w:eastAsia="仿宋_GB2312" w:cs="仿宋_GB2312"/>
                <w:b w:val="0"/>
                <w:bCs w:val="0"/>
                <w:caps w:val="0"/>
                <w:color w:val="auto"/>
                <w:sz w:val="24"/>
                <w:szCs w:val="24"/>
                <w:vertAlign w:val="baseline"/>
                <w:lang w:eastAsia="zh-CN"/>
              </w:rPr>
              <w:t>（处理）</w:t>
            </w:r>
            <w:r>
              <w:rPr>
                <w:rFonts w:hint="eastAsia" w:ascii="仿宋_GB2312" w:hAnsi="仿宋_GB2312" w:eastAsia="仿宋_GB2312" w:cs="仿宋_GB2312"/>
                <w:b w:val="0"/>
                <w:bCs w:val="0"/>
                <w:caps w:val="0"/>
                <w:color w:val="auto"/>
                <w:sz w:val="24"/>
                <w:szCs w:val="24"/>
                <w:vertAlign w:val="baseline"/>
              </w:rPr>
              <w:t>。其中一项为“否”即为不合格。</w:t>
            </w:r>
          </w:p>
        </w:tc>
        <w:tc>
          <w:tcPr>
            <w:tcW w:w="632" w:type="pct"/>
            <w:tcBorders>
              <w:top w:val="single" w:color="auto" w:sz="6" w:space="0"/>
              <w:left w:val="nil"/>
              <w:bottom w:val="single" w:color="auto" w:sz="4" w:space="0"/>
              <w:right w:val="single" w:color="auto" w:sz="6" w:space="0"/>
            </w:tcBorders>
            <w:noWrap w:val="0"/>
            <w:tcMar>
              <w:top w:w="0" w:type="dxa"/>
              <w:left w:w="60" w:type="dxa"/>
              <w:bottom w:w="0" w:type="dxa"/>
              <w:right w:w="60" w:type="dxa"/>
            </w:tcMar>
            <w:vAlign w:val="center"/>
          </w:tcPr>
          <w:p w14:paraId="1B9B3A7B">
            <w:pPr>
              <w:keepNext w:val="0"/>
              <w:keepLines w:val="0"/>
              <w:pageBreakBefore w:val="0"/>
              <w:widowControl w:val="0"/>
              <w:suppressLineNumbers w:val="0"/>
              <w:kinsoku w:val="0"/>
              <w:wordWrap/>
              <w:overflowPunct/>
              <w:topLinePunct w:val="0"/>
              <w:autoSpaceDE/>
              <w:autoSpaceDN w:val="0"/>
              <w:bidi w:val="0"/>
              <w:adjustRightInd w:val="0"/>
              <w:snapToGrid w:val="0"/>
              <w:spacing w:before="0" w:beforeAutospacing="0" w:after="0" w:afterAutospacing="0" w:line="400" w:lineRule="atLeast"/>
              <w:ind w:left="0" w:right="0" w:firstLine="0"/>
              <w:jc w:val="left"/>
              <w:textAlignment w:val="baseline"/>
              <w:rPr>
                <w:rFonts w:hint="eastAsia" w:ascii="仿宋_GB2312" w:hAnsi="仿宋_GB2312" w:eastAsia="仿宋_GB2312" w:cs="仿宋_GB2312"/>
                <w:caps w:val="0"/>
                <w:color w:val="auto"/>
                <w:kern w:val="2"/>
                <w:sz w:val="24"/>
                <w:szCs w:val="24"/>
                <w:vertAlign w:val="baseline"/>
                <w:lang w:val="en-US" w:eastAsia="zh-CN" w:bidi="ar"/>
              </w:rPr>
            </w:pPr>
            <w:r>
              <w:rPr>
                <w:rFonts w:hint="eastAsia" w:ascii="仿宋_GB2312" w:hAnsi="仿宋_GB2312" w:eastAsia="仿宋_GB2312" w:cs="仿宋_GB2312"/>
                <w:b w:val="0"/>
                <w:bCs w:val="0"/>
                <w:caps w:val="0"/>
                <w:color w:val="auto"/>
                <w:kern w:val="2"/>
                <w:sz w:val="24"/>
                <w:szCs w:val="24"/>
                <w:vertAlign w:val="baseline"/>
                <w:lang w:val="en-US" w:eastAsia="zh-CN" w:bidi="ar"/>
              </w:rPr>
              <w:t>合  格</w:t>
            </w:r>
            <w:r>
              <w:rPr>
                <w:rFonts w:hint="default" w:ascii="仿宋_GB2312" w:hAnsi="仿宋_GB2312" w:eastAsia="仿宋_GB2312" w:cs="仿宋_GB2312"/>
                <w:b w:val="0"/>
                <w:bCs w:val="0"/>
                <w:caps w:val="0"/>
                <w:color w:val="auto"/>
                <w:kern w:val="2"/>
                <w:sz w:val="24"/>
                <w:szCs w:val="24"/>
                <w:vertAlign w:val="baseline"/>
                <w:lang w:val="en-US" w:eastAsia="zh-CN" w:bidi="ar"/>
              </w:rPr>
              <w:sym w:font="Wingdings 2" w:char="00A3"/>
            </w:r>
          </w:p>
          <w:p w14:paraId="4BA0855C">
            <w:pPr>
              <w:keepNext w:val="0"/>
              <w:keepLines w:val="0"/>
              <w:pageBreakBefore w:val="0"/>
              <w:widowControl/>
              <w:suppressLineNumbers w:val="0"/>
              <w:kinsoku/>
              <w:wordWrap/>
              <w:overflowPunct/>
              <w:topLinePunct w:val="0"/>
              <w:autoSpaceDE/>
              <w:autoSpaceDN w:val="0"/>
              <w:bidi w:val="0"/>
              <w:adjustRightInd/>
              <w:snapToGrid w:val="0"/>
              <w:spacing w:before="0" w:beforeAutospacing="0" w:after="0" w:afterAutospacing="0" w:line="400" w:lineRule="atLeast"/>
              <w:ind w:left="0" w:right="0" w:firstLine="0"/>
              <w:jc w:val="both"/>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kern w:val="2"/>
                <w:sz w:val="24"/>
                <w:szCs w:val="24"/>
                <w:vertAlign w:val="baseline"/>
                <w:lang w:val="en-US" w:eastAsia="zh-CN" w:bidi="ar"/>
              </w:rPr>
              <w:t>不合格</w:t>
            </w:r>
            <w:r>
              <w:rPr>
                <w:rFonts w:hint="default" w:ascii="仿宋_GB2312" w:hAnsi="仿宋_GB2312" w:eastAsia="仿宋_GB2312" w:cs="仿宋_GB2312"/>
                <w:b w:val="0"/>
                <w:bCs w:val="0"/>
                <w:caps w:val="0"/>
                <w:color w:val="auto"/>
                <w:kern w:val="2"/>
                <w:sz w:val="24"/>
                <w:szCs w:val="24"/>
                <w:vertAlign w:val="baseline"/>
                <w:lang w:val="en-US" w:eastAsia="zh-CN" w:bidi="ar"/>
              </w:rPr>
              <w:sym w:font="Wingdings 2" w:char="00A3"/>
            </w:r>
          </w:p>
        </w:tc>
      </w:tr>
      <w:tr w14:paraId="67562B3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115" w:hRule="atLeast"/>
        </w:trPr>
        <w:tc>
          <w:tcPr>
            <w:tcW w:w="427" w:type="pct"/>
            <w:tcBorders>
              <w:top w:val="single" w:color="auto" w:sz="4" w:space="0"/>
              <w:left w:val="single" w:color="auto" w:sz="4" w:space="0"/>
              <w:bottom w:val="single" w:color="auto" w:sz="4" w:space="0"/>
              <w:right w:val="single" w:color="auto" w:sz="4" w:space="0"/>
            </w:tcBorders>
            <w:noWrap w:val="0"/>
            <w:tcMar>
              <w:top w:w="0" w:type="dxa"/>
              <w:left w:w="60" w:type="dxa"/>
              <w:bottom w:w="0" w:type="dxa"/>
              <w:right w:w="60" w:type="dxa"/>
            </w:tcMar>
            <w:vAlign w:val="center"/>
          </w:tcPr>
          <w:p w14:paraId="013F2D8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40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7</w:t>
            </w:r>
          </w:p>
        </w:tc>
        <w:tc>
          <w:tcPr>
            <w:tcW w:w="758" w:type="pct"/>
            <w:tcBorders>
              <w:top w:val="single" w:color="auto" w:sz="4" w:space="0"/>
              <w:left w:val="single" w:color="auto" w:sz="4" w:space="0"/>
              <w:bottom w:val="single" w:color="auto" w:sz="4" w:space="0"/>
              <w:right w:val="single" w:color="auto" w:sz="4" w:space="0"/>
            </w:tcBorders>
            <w:noWrap w:val="0"/>
            <w:tcMar>
              <w:top w:w="0" w:type="dxa"/>
              <w:left w:w="60" w:type="dxa"/>
              <w:bottom w:w="0" w:type="dxa"/>
              <w:right w:w="60" w:type="dxa"/>
            </w:tcMar>
            <w:vAlign w:val="center"/>
          </w:tcPr>
          <w:p w14:paraId="275212B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40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医疗服务</w:t>
            </w:r>
          </w:p>
          <w:p w14:paraId="0681C2E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40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能力</w:t>
            </w:r>
          </w:p>
        </w:tc>
        <w:tc>
          <w:tcPr>
            <w:tcW w:w="3182" w:type="pct"/>
            <w:tcBorders>
              <w:top w:val="single" w:color="auto" w:sz="4" w:space="0"/>
              <w:left w:val="single" w:color="auto" w:sz="4" w:space="0"/>
              <w:bottom w:val="single" w:color="auto" w:sz="4" w:space="0"/>
              <w:right w:val="single" w:color="auto" w:sz="4" w:space="0"/>
            </w:tcBorders>
            <w:noWrap w:val="0"/>
            <w:tcMar>
              <w:top w:w="0" w:type="dxa"/>
              <w:left w:w="60" w:type="dxa"/>
              <w:bottom w:w="0" w:type="dxa"/>
              <w:right w:w="60" w:type="dxa"/>
            </w:tcMar>
            <w:vAlign w:val="center"/>
          </w:tcPr>
          <w:p w14:paraId="6BFFC96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400" w:lineRule="atLeast"/>
              <w:ind w:left="0" w:right="0" w:firstLine="0"/>
              <w:jc w:val="both"/>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医疗机构：是否具备相应的医护专业人员，</w:t>
            </w:r>
            <w:r>
              <w:rPr>
                <w:rFonts w:hint="eastAsia" w:ascii="仿宋_GB2312" w:hAnsi="仿宋_GB2312" w:eastAsia="仿宋_GB2312" w:cs="仿宋_GB2312"/>
                <w:caps w:val="0"/>
                <w:color w:val="auto"/>
                <w:sz w:val="24"/>
                <w:szCs w:val="24"/>
                <w:vertAlign w:val="baseline"/>
              </w:rPr>
              <w:t>且执业医师和护士</w:t>
            </w:r>
            <w:r>
              <w:rPr>
                <w:rFonts w:hint="eastAsia" w:ascii="仿宋_GB2312" w:hAnsi="仿宋_GB2312" w:eastAsia="仿宋_GB2312" w:cs="仿宋_GB2312"/>
                <w:caps w:val="0"/>
                <w:color w:val="auto"/>
                <w:sz w:val="24"/>
                <w:szCs w:val="24"/>
                <w:vertAlign w:val="baseline"/>
                <w:lang w:val="en-US" w:eastAsia="zh-CN"/>
              </w:rPr>
              <w:t>各不少于1人</w:t>
            </w:r>
            <w:r>
              <w:rPr>
                <w:rFonts w:hint="eastAsia" w:ascii="仿宋_GB2312" w:hAnsi="仿宋_GB2312" w:eastAsia="仿宋_GB2312" w:cs="仿宋_GB2312"/>
                <w:caps w:val="0"/>
                <w:color w:val="auto"/>
                <w:sz w:val="24"/>
                <w:szCs w:val="24"/>
                <w:vertAlign w:val="baseline"/>
              </w:rPr>
              <w:t>。“否</w:t>
            </w:r>
            <w:r>
              <w:rPr>
                <w:rFonts w:hint="eastAsia" w:ascii="仿宋_GB2312" w:hAnsi="仿宋_GB2312" w:eastAsia="仿宋_GB2312" w:cs="仿宋_GB2312"/>
                <w:b w:val="0"/>
                <w:bCs w:val="0"/>
                <w:caps w:val="0"/>
                <w:color w:val="auto"/>
                <w:sz w:val="24"/>
                <w:szCs w:val="24"/>
                <w:vertAlign w:val="baseline"/>
              </w:rPr>
              <w:t>”即为不合格。</w:t>
            </w:r>
          </w:p>
          <w:p w14:paraId="5794424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400" w:lineRule="atLeast"/>
              <w:ind w:left="0" w:right="0" w:firstLine="0"/>
              <w:jc w:val="both"/>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养老机构、其他服务机构：是否通过自主聘用或者与医疗机构开展协议合作，具备相应的医护专业人员，能提供医疗指导服务的护士不少于1人。“否”即为不合格。</w:t>
            </w:r>
          </w:p>
        </w:tc>
        <w:tc>
          <w:tcPr>
            <w:tcW w:w="632" w:type="pct"/>
            <w:tcBorders>
              <w:top w:val="single" w:color="auto" w:sz="4" w:space="0"/>
              <w:left w:val="single" w:color="auto" w:sz="4" w:space="0"/>
              <w:bottom w:val="single" w:color="auto" w:sz="4" w:space="0"/>
              <w:right w:val="single" w:color="auto" w:sz="4" w:space="0"/>
            </w:tcBorders>
            <w:noWrap w:val="0"/>
            <w:tcMar>
              <w:top w:w="0" w:type="dxa"/>
              <w:left w:w="60" w:type="dxa"/>
              <w:bottom w:w="0" w:type="dxa"/>
              <w:right w:w="60" w:type="dxa"/>
            </w:tcMar>
            <w:vAlign w:val="center"/>
          </w:tcPr>
          <w:p w14:paraId="22E46A3B">
            <w:pPr>
              <w:keepNext w:val="0"/>
              <w:keepLines w:val="0"/>
              <w:pageBreakBefore w:val="0"/>
              <w:widowControl w:val="0"/>
              <w:suppressLineNumbers w:val="0"/>
              <w:kinsoku w:val="0"/>
              <w:wordWrap/>
              <w:overflowPunct/>
              <w:topLinePunct w:val="0"/>
              <w:autoSpaceDE/>
              <w:autoSpaceDN w:val="0"/>
              <w:bidi w:val="0"/>
              <w:adjustRightInd w:val="0"/>
              <w:snapToGrid w:val="0"/>
              <w:spacing w:before="0" w:beforeAutospacing="0" w:after="0" w:afterAutospacing="0" w:line="400" w:lineRule="atLeast"/>
              <w:ind w:left="0" w:right="0" w:firstLine="0"/>
              <w:jc w:val="left"/>
              <w:textAlignment w:val="baseline"/>
              <w:rPr>
                <w:rFonts w:hint="eastAsia" w:ascii="仿宋_GB2312" w:hAnsi="仿宋_GB2312" w:eastAsia="仿宋_GB2312" w:cs="仿宋_GB2312"/>
                <w:caps w:val="0"/>
                <w:color w:val="auto"/>
                <w:kern w:val="2"/>
                <w:sz w:val="24"/>
                <w:szCs w:val="24"/>
                <w:vertAlign w:val="baseline"/>
                <w:lang w:val="en-US" w:eastAsia="zh-CN" w:bidi="ar"/>
              </w:rPr>
            </w:pPr>
            <w:r>
              <w:rPr>
                <w:rFonts w:hint="eastAsia" w:ascii="仿宋_GB2312" w:hAnsi="仿宋_GB2312" w:eastAsia="仿宋_GB2312" w:cs="仿宋_GB2312"/>
                <w:b w:val="0"/>
                <w:bCs w:val="0"/>
                <w:caps w:val="0"/>
                <w:color w:val="auto"/>
                <w:kern w:val="2"/>
                <w:sz w:val="24"/>
                <w:szCs w:val="24"/>
                <w:vertAlign w:val="baseline"/>
                <w:lang w:val="en-US" w:eastAsia="zh-CN" w:bidi="ar"/>
              </w:rPr>
              <w:t>合  格</w:t>
            </w:r>
            <w:r>
              <w:rPr>
                <w:rFonts w:hint="default" w:ascii="仿宋_GB2312" w:hAnsi="仿宋_GB2312" w:eastAsia="仿宋_GB2312" w:cs="仿宋_GB2312"/>
                <w:b w:val="0"/>
                <w:bCs w:val="0"/>
                <w:caps w:val="0"/>
                <w:color w:val="auto"/>
                <w:kern w:val="2"/>
                <w:sz w:val="24"/>
                <w:szCs w:val="24"/>
                <w:vertAlign w:val="baseline"/>
                <w:lang w:val="en-US" w:eastAsia="zh-CN" w:bidi="ar"/>
              </w:rPr>
              <w:sym w:font="Wingdings 2" w:char="00A3"/>
            </w:r>
          </w:p>
          <w:p w14:paraId="617E5822">
            <w:pPr>
              <w:keepNext w:val="0"/>
              <w:keepLines w:val="0"/>
              <w:pageBreakBefore w:val="0"/>
              <w:widowControl/>
              <w:suppressLineNumbers w:val="0"/>
              <w:kinsoku/>
              <w:wordWrap/>
              <w:overflowPunct/>
              <w:topLinePunct w:val="0"/>
              <w:autoSpaceDE/>
              <w:autoSpaceDN w:val="0"/>
              <w:bidi w:val="0"/>
              <w:adjustRightInd/>
              <w:snapToGrid w:val="0"/>
              <w:spacing w:before="0" w:beforeAutospacing="0" w:after="0" w:afterAutospacing="0" w:line="400" w:lineRule="atLeast"/>
              <w:ind w:left="0" w:right="0" w:firstLine="0"/>
              <w:jc w:val="both"/>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kern w:val="2"/>
                <w:sz w:val="24"/>
                <w:szCs w:val="24"/>
                <w:vertAlign w:val="baseline"/>
                <w:lang w:val="en-US" w:eastAsia="zh-CN" w:bidi="ar"/>
              </w:rPr>
              <w:t>不合格</w:t>
            </w:r>
            <w:r>
              <w:rPr>
                <w:rFonts w:hint="default" w:ascii="仿宋_GB2312" w:hAnsi="仿宋_GB2312" w:eastAsia="仿宋_GB2312" w:cs="仿宋_GB2312"/>
                <w:b w:val="0"/>
                <w:bCs w:val="0"/>
                <w:caps w:val="0"/>
                <w:color w:val="auto"/>
                <w:kern w:val="2"/>
                <w:sz w:val="24"/>
                <w:szCs w:val="24"/>
                <w:vertAlign w:val="baseline"/>
                <w:lang w:val="en-US" w:eastAsia="zh-CN" w:bidi="ar"/>
              </w:rPr>
              <w:sym w:font="Wingdings 2" w:char="00A3"/>
            </w:r>
          </w:p>
        </w:tc>
      </w:tr>
      <w:tr w14:paraId="5ED3A04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870" w:hRule="atLeast"/>
        </w:trPr>
        <w:tc>
          <w:tcPr>
            <w:tcW w:w="427" w:type="pct"/>
            <w:tcBorders>
              <w:top w:val="single" w:color="auto" w:sz="4" w:space="0"/>
              <w:left w:val="single" w:color="auto" w:sz="6" w:space="0"/>
              <w:bottom w:val="single" w:color="auto" w:sz="6" w:space="0"/>
              <w:right w:val="single" w:color="auto" w:sz="6" w:space="0"/>
            </w:tcBorders>
            <w:noWrap w:val="0"/>
            <w:tcMar>
              <w:top w:w="0" w:type="dxa"/>
              <w:left w:w="60" w:type="dxa"/>
              <w:bottom w:w="0" w:type="dxa"/>
              <w:right w:w="60" w:type="dxa"/>
            </w:tcMar>
            <w:vAlign w:val="center"/>
          </w:tcPr>
          <w:p w14:paraId="54C21B9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40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8</w:t>
            </w:r>
          </w:p>
        </w:tc>
        <w:tc>
          <w:tcPr>
            <w:tcW w:w="758" w:type="pct"/>
            <w:tcBorders>
              <w:top w:val="single" w:color="auto" w:sz="4" w:space="0"/>
              <w:left w:val="nil"/>
              <w:bottom w:val="single" w:color="auto" w:sz="6" w:space="0"/>
              <w:right w:val="single" w:color="auto" w:sz="6" w:space="0"/>
            </w:tcBorders>
            <w:noWrap w:val="0"/>
            <w:tcMar>
              <w:top w:w="0" w:type="dxa"/>
              <w:left w:w="60" w:type="dxa"/>
              <w:bottom w:w="0" w:type="dxa"/>
              <w:right w:w="60" w:type="dxa"/>
            </w:tcMar>
            <w:vAlign w:val="center"/>
          </w:tcPr>
          <w:p w14:paraId="30B7271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40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收费标准</w:t>
            </w:r>
          </w:p>
        </w:tc>
        <w:tc>
          <w:tcPr>
            <w:tcW w:w="3182" w:type="pct"/>
            <w:tcBorders>
              <w:top w:val="single" w:color="auto" w:sz="4" w:space="0"/>
              <w:left w:val="nil"/>
              <w:bottom w:val="single" w:color="auto" w:sz="6" w:space="0"/>
              <w:right w:val="single" w:color="auto" w:sz="6" w:space="0"/>
            </w:tcBorders>
            <w:noWrap w:val="0"/>
            <w:tcMar>
              <w:top w:w="0" w:type="dxa"/>
              <w:left w:w="60" w:type="dxa"/>
              <w:bottom w:w="0" w:type="dxa"/>
              <w:right w:w="60" w:type="dxa"/>
            </w:tcMar>
            <w:vAlign w:val="center"/>
          </w:tcPr>
          <w:p w14:paraId="0638A8B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400" w:lineRule="atLeast"/>
              <w:ind w:left="0" w:right="0" w:firstLine="0"/>
              <w:jc w:val="both"/>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与长护服务相关的收费项目和收费价格是否符合政策规定。“否”即为不合格。</w:t>
            </w:r>
          </w:p>
        </w:tc>
        <w:tc>
          <w:tcPr>
            <w:tcW w:w="632" w:type="pct"/>
            <w:tcBorders>
              <w:top w:val="single" w:color="auto" w:sz="4" w:space="0"/>
              <w:left w:val="nil"/>
              <w:bottom w:val="single" w:color="auto" w:sz="6" w:space="0"/>
              <w:right w:val="single" w:color="auto" w:sz="6" w:space="0"/>
            </w:tcBorders>
            <w:noWrap w:val="0"/>
            <w:tcMar>
              <w:top w:w="0" w:type="dxa"/>
              <w:left w:w="60" w:type="dxa"/>
              <w:bottom w:w="0" w:type="dxa"/>
              <w:right w:w="60" w:type="dxa"/>
            </w:tcMar>
            <w:vAlign w:val="center"/>
          </w:tcPr>
          <w:p w14:paraId="705A8B2F">
            <w:pPr>
              <w:keepNext w:val="0"/>
              <w:keepLines w:val="0"/>
              <w:pageBreakBefore w:val="0"/>
              <w:widowControl w:val="0"/>
              <w:suppressLineNumbers w:val="0"/>
              <w:kinsoku w:val="0"/>
              <w:wordWrap/>
              <w:overflowPunct/>
              <w:topLinePunct w:val="0"/>
              <w:autoSpaceDE/>
              <w:autoSpaceDN w:val="0"/>
              <w:bidi w:val="0"/>
              <w:adjustRightInd w:val="0"/>
              <w:snapToGrid w:val="0"/>
              <w:spacing w:before="0" w:beforeAutospacing="0" w:after="0" w:afterAutospacing="0" w:line="400" w:lineRule="atLeast"/>
              <w:ind w:left="0" w:right="0" w:firstLine="0"/>
              <w:jc w:val="left"/>
              <w:textAlignment w:val="baseline"/>
              <w:rPr>
                <w:rFonts w:hint="eastAsia" w:ascii="仿宋_GB2312" w:hAnsi="仿宋_GB2312" w:eastAsia="仿宋_GB2312" w:cs="仿宋_GB2312"/>
                <w:caps w:val="0"/>
                <w:color w:val="auto"/>
                <w:kern w:val="2"/>
                <w:sz w:val="24"/>
                <w:szCs w:val="24"/>
                <w:vertAlign w:val="baseline"/>
                <w:lang w:val="en-US" w:eastAsia="zh-CN" w:bidi="ar"/>
              </w:rPr>
            </w:pPr>
            <w:r>
              <w:rPr>
                <w:rFonts w:hint="eastAsia" w:ascii="仿宋_GB2312" w:hAnsi="仿宋_GB2312" w:eastAsia="仿宋_GB2312" w:cs="仿宋_GB2312"/>
                <w:b w:val="0"/>
                <w:bCs w:val="0"/>
                <w:caps w:val="0"/>
                <w:color w:val="auto"/>
                <w:kern w:val="2"/>
                <w:sz w:val="24"/>
                <w:szCs w:val="24"/>
                <w:vertAlign w:val="baseline"/>
                <w:lang w:val="en-US" w:eastAsia="zh-CN" w:bidi="ar"/>
              </w:rPr>
              <w:t>合  格</w:t>
            </w:r>
            <w:r>
              <w:rPr>
                <w:rFonts w:hint="default" w:ascii="仿宋_GB2312" w:hAnsi="仿宋_GB2312" w:eastAsia="仿宋_GB2312" w:cs="仿宋_GB2312"/>
                <w:b w:val="0"/>
                <w:bCs w:val="0"/>
                <w:caps w:val="0"/>
                <w:color w:val="auto"/>
                <w:kern w:val="2"/>
                <w:sz w:val="24"/>
                <w:szCs w:val="24"/>
                <w:vertAlign w:val="baseline"/>
                <w:lang w:val="en-US" w:eastAsia="zh-CN" w:bidi="ar"/>
              </w:rPr>
              <w:sym w:font="Wingdings 2" w:char="00A3"/>
            </w:r>
          </w:p>
          <w:p w14:paraId="00EB7106">
            <w:pPr>
              <w:keepNext w:val="0"/>
              <w:keepLines w:val="0"/>
              <w:pageBreakBefore w:val="0"/>
              <w:widowControl/>
              <w:suppressLineNumbers w:val="0"/>
              <w:kinsoku/>
              <w:wordWrap/>
              <w:overflowPunct/>
              <w:topLinePunct w:val="0"/>
              <w:autoSpaceDE/>
              <w:autoSpaceDN w:val="0"/>
              <w:bidi w:val="0"/>
              <w:adjustRightInd/>
              <w:snapToGrid w:val="0"/>
              <w:spacing w:before="0" w:beforeAutospacing="0" w:after="0" w:afterAutospacing="0" w:line="400" w:lineRule="atLeast"/>
              <w:ind w:left="0" w:right="0" w:firstLine="0"/>
              <w:jc w:val="both"/>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kern w:val="2"/>
                <w:sz w:val="24"/>
                <w:szCs w:val="24"/>
                <w:vertAlign w:val="baseline"/>
                <w:lang w:val="en-US" w:eastAsia="zh-CN" w:bidi="ar"/>
              </w:rPr>
              <w:t>不合格</w:t>
            </w:r>
            <w:r>
              <w:rPr>
                <w:rFonts w:hint="default" w:ascii="仿宋_GB2312" w:hAnsi="仿宋_GB2312" w:eastAsia="仿宋_GB2312" w:cs="仿宋_GB2312"/>
                <w:b w:val="0"/>
                <w:bCs w:val="0"/>
                <w:caps w:val="0"/>
                <w:color w:val="auto"/>
                <w:kern w:val="2"/>
                <w:sz w:val="24"/>
                <w:szCs w:val="24"/>
                <w:vertAlign w:val="baseline"/>
                <w:lang w:val="en-US" w:eastAsia="zh-CN" w:bidi="ar"/>
              </w:rPr>
              <w:sym w:font="Wingdings 2" w:char="00A3"/>
            </w:r>
          </w:p>
        </w:tc>
      </w:tr>
      <w:tr w14:paraId="2AFABD4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870" w:hRule="atLeast"/>
        </w:trPr>
        <w:tc>
          <w:tcPr>
            <w:tcW w:w="427" w:type="pct"/>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14:paraId="3B7493C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40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9</w:t>
            </w:r>
          </w:p>
        </w:tc>
        <w:tc>
          <w:tcPr>
            <w:tcW w:w="758" w:type="pct"/>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4C2DEFE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40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经营场所</w:t>
            </w:r>
          </w:p>
        </w:tc>
        <w:tc>
          <w:tcPr>
            <w:tcW w:w="3182" w:type="pct"/>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01777C8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400" w:lineRule="atLeast"/>
              <w:ind w:left="0" w:right="0" w:firstLine="0"/>
              <w:jc w:val="both"/>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是否配备固定的经营管理用房和服务技能培训场地，“否”即为不合格。</w:t>
            </w:r>
          </w:p>
        </w:tc>
        <w:tc>
          <w:tcPr>
            <w:tcW w:w="632" w:type="pct"/>
            <w:tcBorders>
              <w:top w:val="single" w:color="auto" w:sz="6" w:space="0"/>
              <w:left w:val="nil"/>
              <w:bottom w:val="single" w:color="auto" w:sz="6" w:space="0"/>
              <w:right w:val="single" w:color="auto" w:sz="6" w:space="0"/>
            </w:tcBorders>
            <w:noWrap w:val="0"/>
            <w:tcMar>
              <w:top w:w="0" w:type="dxa"/>
              <w:left w:w="60" w:type="dxa"/>
              <w:bottom w:w="0" w:type="dxa"/>
              <w:right w:w="60" w:type="dxa"/>
            </w:tcMar>
            <w:vAlign w:val="center"/>
          </w:tcPr>
          <w:p w14:paraId="2830097B">
            <w:pPr>
              <w:keepNext w:val="0"/>
              <w:keepLines w:val="0"/>
              <w:pageBreakBefore w:val="0"/>
              <w:widowControl w:val="0"/>
              <w:suppressLineNumbers w:val="0"/>
              <w:kinsoku w:val="0"/>
              <w:wordWrap/>
              <w:overflowPunct/>
              <w:topLinePunct w:val="0"/>
              <w:autoSpaceDE/>
              <w:autoSpaceDN w:val="0"/>
              <w:bidi w:val="0"/>
              <w:adjustRightInd w:val="0"/>
              <w:snapToGrid w:val="0"/>
              <w:spacing w:before="0" w:beforeAutospacing="0" w:after="0" w:afterAutospacing="0" w:line="400" w:lineRule="atLeast"/>
              <w:ind w:left="0" w:right="0" w:firstLine="0"/>
              <w:jc w:val="left"/>
              <w:textAlignment w:val="baseline"/>
              <w:rPr>
                <w:rFonts w:hint="eastAsia" w:ascii="仿宋_GB2312" w:hAnsi="仿宋_GB2312" w:eastAsia="仿宋_GB2312" w:cs="仿宋_GB2312"/>
                <w:caps w:val="0"/>
                <w:color w:val="auto"/>
                <w:kern w:val="2"/>
                <w:sz w:val="24"/>
                <w:szCs w:val="24"/>
                <w:vertAlign w:val="baseline"/>
                <w:lang w:val="en-US" w:eastAsia="zh-CN" w:bidi="ar"/>
              </w:rPr>
            </w:pPr>
            <w:r>
              <w:rPr>
                <w:rFonts w:hint="eastAsia" w:ascii="仿宋_GB2312" w:hAnsi="仿宋_GB2312" w:eastAsia="仿宋_GB2312" w:cs="仿宋_GB2312"/>
                <w:b w:val="0"/>
                <w:bCs w:val="0"/>
                <w:caps w:val="0"/>
                <w:color w:val="auto"/>
                <w:kern w:val="2"/>
                <w:sz w:val="24"/>
                <w:szCs w:val="24"/>
                <w:vertAlign w:val="baseline"/>
                <w:lang w:val="en-US" w:eastAsia="zh-CN" w:bidi="ar"/>
              </w:rPr>
              <w:t>合  格</w:t>
            </w:r>
            <w:r>
              <w:rPr>
                <w:rFonts w:hint="default" w:ascii="仿宋_GB2312" w:hAnsi="仿宋_GB2312" w:eastAsia="仿宋_GB2312" w:cs="仿宋_GB2312"/>
                <w:b w:val="0"/>
                <w:bCs w:val="0"/>
                <w:caps w:val="0"/>
                <w:color w:val="auto"/>
                <w:kern w:val="2"/>
                <w:sz w:val="24"/>
                <w:szCs w:val="24"/>
                <w:vertAlign w:val="baseline"/>
                <w:lang w:val="en-US" w:eastAsia="zh-CN" w:bidi="ar"/>
              </w:rPr>
              <w:sym w:font="Wingdings 2" w:char="00A3"/>
            </w:r>
          </w:p>
          <w:p w14:paraId="51404300">
            <w:pPr>
              <w:keepNext w:val="0"/>
              <w:keepLines w:val="0"/>
              <w:pageBreakBefore w:val="0"/>
              <w:widowControl/>
              <w:suppressLineNumbers w:val="0"/>
              <w:kinsoku/>
              <w:wordWrap/>
              <w:overflowPunct/>
              <w:topLinePunct w:val="0"/>
              <w:autoSpaceDE/>
              <w:autoSpaceDN w:val="0"/>
              <w:bidi w:val="0"/>
              <w:adjustRightInd/>
              <w:snapToGrid w:val="0"/>
              <w:spacing w:before="0" w:beforeAutospacing="0" w:after="0" w:afterAutospacing="0" w:line="400" w:lineRule="atLeast"/>
              <w:ind w:left="0" w:right="0" w:firstLine="0"/>
              <w:jc w:val="both"/>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kern w:val="2"/>
                <w:sz w:val="24"/>
                <w:szCs w:val="24"/>
                <w:vertAlign w:val="baseline"/>
                <w:lang w:val="en-US" w:eastAsia="zh-CN" w:bidi="ar"/>
              </w:rPr>
              <w:t>不合格</w:t>
            </w:r>
            <w:r>
              <w:rPr>
                <w:rFonts w:hint="default" w:ascii="仿宋_GB2312" w:hAnsi="仿宋_GB2312" w:eastAsia="仿宋_GB2312" w:cs="仿宋_GB2312"/>
                <w:b w:val="0"/>
                <w:bCs w:val="0"/>
                <w:caps w:val="0"/>
                <w:color w:val="auto"/>
                <w:kern w:val="2"/>
                <w:sz w:val="24"/>
                <w:szCs w:val="24"/>
                <w:vertAlign w:val="baseline"/>
                <w:lang w:val="en-US" w:eastAsia="zh-CN" w:bidi="ar"/>
              </w:rPr>
              <w:sym w:font="Wingdings 2" w:char="00A3"/>
            </w:r>
          </w:p>
        </w:tc>
      </w:tr>
      <w:tr w14:paraId="390B156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200" w:hRule="atLeast"/>
        </w:trPr>
        <w:tc>
          <w:tcPr>
            <w:tcW w:w="427" w:type="pct"/>
            <w:tcBorders>
              <w:top w:val="nil"/>
              <w:left w:val="single" w:color="auto" w:sz="6" w:space="0"/>
              <w:bottom w:val="single" w:color="000000" w:sz="6" w:space="0"/>
              <w:right w:val="single" w:color="auto" w:sz="6" w:space="0"/>
            </w:tcBorders>
            <w:noWrap w:val="0"/>
            <w:tcMar>
              <w:top w:w="0" w:type="dxa"/>
              <w:left w:w="60" w:type="dxa"/>
              <w:bottom w:w="0" w:type="dxa"/>
              <w:right w:w="60" w:type="dxa"/>
            </w:tcMar>
            <w:vAlign w:val="center"/>
          </w:tcPr>
          <w:p w14:paraId="0805534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40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10</w:t>
            </w:r>
          </w:p>
        </w:tc>
        <w:tc>
          <w:tcPr>
            <w:tcW w:w="758" w:type="pct"/>
            <w:tcBorders>
              <w:top w:val="nil"/>
              <w:left w:val="nil"/>
              <w:bottom w:val="single" w:color="000000" w:sz="6" w:space="0"/>
              <w:right w:val="single" w:color="auto" w:sz="6" w:space="0"/>
            </w:tcBorders>
            <w:noWrap w:val="0"/>
            <w:tcMar>
              <w:top w:w="0" w:type="dxa"/>
              <w:left w:w="60" w:type="dxa"/>
              <w:bottom w:w="0" w:type="dxa"/>
              <w:right w:w="60" w:type="dxa"/>
            </w:tcMar>
            <w:vAlign w:val="center"/>
          </w:tcPr>
          <w:p w14:paraId="190196F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40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人员配备</w:t>
            </w:r>
          </w:p>
        </w:tc>
        <w:tc>
          <w:tcPr>
            <w:tcW w:w="3182" w:type="pct"/>
            <w:tcBorders>
              <w:top w:val="nil"/>
              <w:left w:val="nil"/>
              <w:bottom w:val="single" w:color="000000" w:sz="6" w:space="0"/>
              <w:right w:val="single" w:color="auto" w:sz="6" w:space="0"/>
            </w:tcBorders>
            <w:noWrap w:val="0"/>
            <w:tcMar>
              <w:top w:w="0" w:type="dxa"/>
              <w:left w:w="60" w:type="dxa"/>
              <w:bottom w:w="0" w:type="dxa"/>
              <w:right w:w="60" w:type="dxa"/>
            </w:tcMar>
            <w:vAlign w:val="center"/>
          </w:tcPr>
          <w:p w14:paraId="08AC4F2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400" w:lineRule="atLeast"/>
              <w:ind w:left="0" w:right="0" w:firstLine="0"/>
              <w:jc w:val="both"/>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配备持有效照护人员证书的专业护理服务人员是否不少于10人，其中在本单位参加社会保险的劳动年龄段护理服务人员是否不少于3人，“否”即为不合格。</w:t>
            </w:r>
          </w:p>
        </w:tc>
        <w:tc>
          <w:tcPr>
            <w:tcW w:w="632" w:type="pct"/>
            <w:tcBorders>
              <w:top w:val="single" w:color="auto" w:sz="6" w:space="0"/>
              <w:left w:val="nil"/>
              <w:bottom w:val="single" w:color="auto" w:sz="6" w:space="0"/>
              <w:right w:val="single" w:color="auto" w:sz="6" w:space="0"/>
            </w:tcBorders>
            <w:noWrap w:val="0"/>
            <w:tcMar>
              <w:top w:w="0" w:type="dxa"/>
              <w:left w:w="60" w:type="dxa"/>
              <w:bottom w:w="0" w:type="dxa"/>
              <w:right w:w="60" w:type="dxa"/>
            </w:tcMar>
            <w:vAlign w:val="center"/>
          </w:tcPr>
          <w:p w14:paraId="6C45BD30">
            <w:pPr>
              <w:keepNext w:val="0"/>
              <w:keepLines w:val="0"/>
              <w:pageBreakBefore w:val="0"/>
              <w:widowControl w:val="0"/>
              <w:suppressLineNumbers w:val="0"/>
              <w:kinsoku w:val="0"/>
              <w:wordWrap/>
              <w:overflowPunct/>
              <w:topLinePunct w:val="0"/>
              <w:autoSpaceDE/>
              <w:autoSpaceDN w:val="0"/>
              <w:bidi w:val="0"/>
              <w:adjustRightInd w:val="0"/>
              <w:snapToGrid w:val="0"/>
              <w:spacing w:before="0" w:beforeAutospacing="0" w:after="0" w:afterAutospacing="0" w:line="400" w:lineRule="atLeast"/>
              <w:ind w:left="0" w:right="0" w:firstLine="0"/>
              <w:jc w:val="left"/>
              <w:textAlignment w:val="baseline"/>
              <w:rPr>
                <w:rFonts w:hint="eastAsia" w:ascii="仿宋_GB2312" w:hAnsi="仿宋_GB2312" w:eastAsia="仿宋_GB2312" w:cs="仿宋_GB2312"/>
                <w:caps w:val="0"/>
                <w:color w:val="auto"/>
                <w:kern w:val="2"/>
                <w:sz w:val="24"/>
                <w:szCs w:val="24"/>
                <w:vertAlign w:val="baseline"/>
                <w:lang w:val="en-US" w:eastAsia="zh-CN" w:bidi="ar"/>
              </w:rPr>
            </w:pPr>
            <w:r>
              <w:rPr>
                <w:rFonts w:hint="eastAsia" w:ascii="仿宋_GB2312" w:hAnsi="仿宋_GB2312" w:eastAsia="仿宋_GB2312" w:cs="仿宋_GB2312"/>
                <w:b w:val="0"/>
                <w:bCs w:val="0"/>
                <w:caps w:val="0"/>
                <w:color w:val="auto"/>
                <w:kern w:val="2"/>
                <w:sz w:val="24"/>
                <w:szCs w:val="24"/>
                <w:vertAlign w:val="baseline"/>
                <w:lang w:val="en-US" w:eastAsia="zh-CN" w:bidi="ar"/>
              </w:rPr>
              <w:t>合  格</w:t>
            </w:r>
            <w:r>
              <w:rPr>
                <w:rFonts w:hint="default" w:ascii="仿宋_GB2312" w:hAnsi="仿宋_GB2312" w:eastAsia="仿宋_GB2312" w:cs="仿宋_GB2312"/>
                <w:b w:val="0"/>
                <w:bCs w:val="0"/>
                <w:caps w:val="0"/>
                <w:color w:val="auto"/>
                <w:kern w:val="2"/>
                <w:sz w:val="24"/>
                <w:szCs w:val="24"/>
                <w:vertAlign w:val="baseline"/>
                <w:lang w:val="en-US" w:eastAsia="zh-CN" w:bidi="ar"/>
              </w:rPr>
              <w:sym w:font="Wingdings 2" w:char="00A3"/>
            </w:r>
          </w:p>
          <w:p w14:paraId="0EE9817D">
            <w:pPr>
              <w:keepNext w:val="0"/>
              <w:keepLines w:val="0"/>
              <w:pageBreakBefore w:val="0"/>
              <w:widowControl/>
              <w:suppressLineNumbers w:val="0"/>
              <w:kinsoku/>
              <w:wordWrap/>
              <w:overflowPunct/>
              <w:topLinePunct w:val="0"/>
              <w:autoSpaceDE/>
              <w:autoSpaceDN w:val="0"/>
              <w:bidi w:val="0"/>
              <w:adjustRightInd/>
              <w:snapToGrid w:val="0"/>
              <w:spacing w:before="0" w:beforeAutospacing="0" w:after="0" w:afterAutospacing="0" w:line="400" w:lineRule="atLeast"/>
              <w:ind w:left="0" w:right="0" w:firstLine="0"/>
              <w:jc w:val="both"/>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kern w:val="2"/>
                <w:sz w:val="24"/>
                <w:szCs w:val="24"/>
                <w:vertAlign w:val="baseline"/>
                <w:lang w:val="en-US" w:eastAsia="zh-CN" w:bidi="ar"/>
              </w:rPr>
              <w:t>不合格</w:t>
            </w:r>
            <w:r>
              <w:rPr>
                <w:rFonts w:hint="default" w:ascii="仿宋_GB2312" w:hAnsi="仿宋_GB2312" w:eastAsia="仿宋_GB2312" w:cs="仿宋_GB2312"/>
                <w:b w:val="0"/>
                <w:bCs w:val="0"/>
                <w:caps w:val="0"/>
                <w:color w:val="auto"/>
                <w:kern w:val="2"/>
                <w:sz w:val="24"/>
                <w:szCs w:val="24"/>
                <w:vertAlign w:val="baseline"/>
                <w:lang w:val="en-US" w:eastAsia="zh-CN" w:bidi="ar"/>
              </w:rPr>
              <w:sym w:font="Wingdings 2" w:char="00A3"/>
            </w:r>
          </w:p>
        </w:tc>
      </w:tr>
      <w:tr w14:paraId="310E1E7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455" w:hRule="atLeast"/>
        </w:trPr>
        <w:tc>
          <w:tcPr>
            <w:tcW w:w="427" w:type="pct"/>
            <w:tcBorders>
              <w:top w:val="single" w:color="000000" w:sz="6" w:space="0"/>
              <w:left w:val="single" w:color="000000" w:sz="6" w:space="0"/>
              <w:bottom w:val="single" w:color="auto" w:sz="4" w:space="0"/>
              <w:right w:val="single" w:color="auto" w:sz="6" w:space="0"/>
            </w:tcBorders>
            <w:noWrap w:val="0"/>
            <w:tcMar>
              <w:top w:w="0" w:type="dxa"/>
              <w:left w:w="60" w:type="dxa"/>
              <w:bottom w:w="0" w:type="dxa"/>
              <w:right w:w="60" w:type="dxa"/>
            </w:tcMar>
            <w:vAlign w:val="center"/>
          </w:tcPr>
          <w:p w14:paraId="28D4A8C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40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11</w:t>
            </w:r>
          </w:p>
        </w:tc>
        <w:tc>
          <w:tcPr>
            <w:tcW w:w="758" w:type="pct"/>
            <w:tcBorders>
              <w:top w:val="single" w:color="000000" w:sz="6" w:space="0"/>
              <w:left w:val="nil"/>
              <w:bottom w:val="single" w:color="auto" w:sz="4" w:space="0"/>
              <w:right w:val="single" w:color="auto" w:sz="6" w:space="0"/>
            </w:tcBorders>
            <w:noWrap w:val="0"/>
            <w:tcMar>
              <w:top w:w="0" w:type="dxa"/>
              <w:left w:w="60" w:type="dxa"/>
              <w:bottom w:w="0" w:type="dxa"/>
              <w:right w:w="60" w:type="dxa"/>
            </w:tcMar>
            <w:vAlign w:val="center"/>
          </w:tcPr>
          <w:p w14:paraId="2188730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40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不予受理</w:t>
            </w:r>
          </w:p>
          <w:p w14:paraId="0314288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40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的情形</w:t>
            </w:r>
          </w:p>
        </w:tc>
        <w:tc>
          <w:tcPr>
            <w:tcW w:w="3182" w:type="pct"/>
            <w:tcBorders>
              <w:top w:val="single" w:color="000000" w:sz="6" w:space="0"/>
              <w:left w:val="nil"/>
              <w:bottom w:val="single" w:color="auto" w:sz="4" w:space="0"/>
              <w:right w:val="single" w:color="000000" w:sz="6" w:space="0"/>
            </w:tcBorders>
            <w:noWrap w:val="0"/>
            <w:tcMar>
              <w:top w:w="0" w:type="dxa"/>
              <w:left w:w="60" w:type="dxa"/>
              <w:bottom w:w="0" w:type="dxa"/>
              <w:right w:w="60" w:type="dxa"/>
            </w:tcMar>
            <w:vAlign w:val="center"/>
          </w:tcPr>
          <w:p w14:paraId="7F3726E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400" w:lineRule="atLeast"/>
              <w:ind w:left="0" w:right="0" w:firstLine="0"/>
              <w:jc w:val="both"/>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是否存在</w:t>
            </w:r>
            <w:r>
              <w:rPr>
                <w:rFonts w:hint="eastAsia" w:ascii="仿宋_GB2312" w:hAnsi="仿宋_GB2312" w:eastAsia="仿宋_GB2312" w:cs="仿宋_GB2312"/>
                <w:caps w:val="0"/>
                <w:color w:val="auto"/>
                <w:sz w:val="24"/>
                <w:szCs w:val="24"/>
                <w:vertAlign w:val="baseline"/>
              </w:rPr>
              <w:t>《</w:t>
            </w:r>
            <w:r>
              <w:rPr>
                <w:rFonts w:hint="eastAsia" w:ascii="仿宋_GB2312" w:hAnsi="仿宋_GB2312" w:eastAsia="仿宋_GB2312" w:cs="仿宋_GB2312"/>
                <w:bCs/>
                <w:caps w:val="0"/>
                <w:color w:val="auto"/>
                <w:sz w:val="24"/>
                <w:szCs w:val="24"/>
                <w:vertAlign w:val="baseline"/>
              </w:rPr>
              <w:t>宁夏回族自治区长期护理保险护理服务机构定点管理</w:t>
            </w:r>
            <w:r>
              <w:rPr>
                <w:rFonts w:hint="eastAsia" w:ascii="仿宋_GB2312" w:hAnsi="仿宋_GB2312" w:eastAsia="仿宋_GB2312" w:cs="仿宋_GB2312"/>
                <w:caps w:val="0"/>
                <w:color w:val="auto"/>
                <w:sz w:val="24"/>
                <w:szCs w:val="24"/>
                <w:vertAlign w:val="baseline"/>
              </w:rPr>
              <w:t>实施细则》</w:t>
            </w:r>
            <w:r>
              <w:rPr>
                <w:rFonts w:hint="eastAsia" w:ascii="仿宋_GB2312" w:hAnsi="仿宋_GB2312" w:eastAsia="仿宋_GB2312" w:cs="仿宋_GB2312"/>
                <w:b w:val="0"/>
                <w:bCs w:val="0"/>
                <w:caps w:val="0"/>
                <w:color w:val="auto"/>
                <w:sz w:val="24"/>
                <w:szCs w:val="24"/>
                <w:vertAlign w:val="baseline"/>
              </w:rPr>
              <w:t>第十一条所规定的不予受理的情形。如有一项不予受理的情形即为不合格。</w:t>
            </w:r>
          </w:p>
        </w:tc>
        <w:tc>
          <w:tcPr>
            <w:tcW w:w="632" w:type="pct"/>
            <w:tcBorders>
              <w:top w:val="single" w:color="auto" w:sz="6" w:space="0"/>
              <w:left w:val="single" w:color="000000" w:sz="6" w:space="0"/>
              <w:bottom w:val="single" w:color="auto" w:sz="4" w:space="0"/>
              <w:right w:val="single" w:color="auto" w:sz="6" w:space="0"/>
            </w:tcBorders>
            <w:noWrap w:val="0"/>
            <w:tcMar>
              <w:top w:w="0" w:type="dxa"/>
              <w:left w:w="60" w:type="dxa"/>
              <w:bottom w:w="0" w:type="dxa"/>
              <w:right w:w="60" w:type="dxa"/>
            </w:tcMar>
            <w:vAlign w:val="center"/>
          </w:tcPr>
          <w:p w14:paraId="180C4467">
            <w:pPr>
              <w:keepNext w:val="0"/>
              <w:keepLines w:val="0"/>
              <w:pageBreakBefore w:val="0"/>
              <w:widowControl w:val="0"/>
              <w:suppressLineNumbers w:val="0"/>
              <w:kinsoku w:val="0"/>
              <w:wordWrap/>
              <w:overflowPunct/>
              <w:topLinePunct w:val="0"/>
              <w:autoSpaceDE/>
              <w:autoSpaceDN w:val="0"/>
              <w:bidi w:val="0"/>
              <w:adjustRightInd w:val="0"/>
              <w:snapToGrid w:val="0"/>
              <w:spacing w:before="0" w:beforeAutospacing="0" w:after="0" w:afterAutospacing="0" w:line="400" w:lineRule="atLeast"/>
              <w:ind w:left="0" w:right="0" w:firstLine="0"/>
              <w:jc w:val="left"/>
              <w:textAlignment w:val="baseline"/>
              <w:rPr>
                <w:rFonts w:hint="eastAsia" w:ascii="仿宋_GB2312" w:hAnsi="仿宋_GB2312" w:eastAsia="仿宋_GB2312" w:cs="仿宋_GB2312"/>
                <w:caps w:val="0"/>
                <w:color w:val="auto"/>
                <w:kern w:val="2"/>
                <w:sz w:val="24"/>
                <w:szCs w:val="24"/>
                <w:vertAlign w:val="baseline"/>
                <w:lang w:val="en-US" w:eastAsia="zh-CN" w:bidi="ar"/>
              </w:rPr>
            </w:pPr>
            <w:r>
              <w:rPr>
                <w:rFonts w:hint="eastAsia" w:ascii="仿宋_GB2312" w:hAnsi="仿宋_GB2312" w:eastAsia="仿宋_GB2312" w:cs="仿宋_GB2312"/>
                <w:b w:val="0"/>
                <w:bCs w:val="0"/>
                <w:caps w:val="0"/>
                <w:color w:val="auto"/>
                <w:kern w:val="2"/>
                <w:sz w:val="24"/>
                <w:szCs w:val="24"/>
                <w:vertAlign w:val="baseline"/>
                <w:lang w:val="en-US" w:eastAsia="zh-CN" w:bidi="ar"/>
              </w:rPr>
              <w:t>合  格</w:t>
            </w:r>
            <w:r>
              <w:rPr>
                <w:rFonts w:hint="default" w:ascii="仿宋_GB2312" w:hAnsi="仿宋_GB2312" w:eastAsia="仿宋_GB2312" w:cs="仿宋_GB2312"/>
                <w:b w:val="0"/>
                <w:bCs w:val="0"/>
                <w:caps w:val="0"/>
                <w:color w:val="auto"/>
                <w:kern w:val="2"/>
                <w:sz w:val="24"/>
                <w:szCs w:val="24"/>
                <w:vertAlign w:val="baseline"/>
                <w:lang w:val="en-US" w:eastAsia="zh-CN" w:bidi="ar"/>
              </w:rPr>
              <w:sym w:font="Wingdings 2" w:char="00A3"/>
            </w:r>
          </w:p>
          <w:p w14:paraId="3F1CCEC2">
            <w:pPr>
              <w:keepNext w:val="0"/>
              <w:keepLines w:val="0"/>
              <w:pageBreakBefore w:val="0"/>
              <w:widowControl/>
              <w:suppressLineNumbers w:val="0"/>
              <w:kinsoku/>
              <w:wordWrap/>
              <w:overflowPunct/>
              <w:topLinePunct w:val="0"/>
              <w:autoSpaceDE/>
              <w:autoSpaceDN w:val="0"/>
              <w:bidi w:val="0"/>
              <w:adjustRightInd/>
              <w:snapToGrid w:val="0"/>
              <w:spacing w:before="0" w:beforeAutospacing="0" w:after="0" w:afterAutospacing="0" w:line="400" w:lineRule="atLeast"/>
              <w:ind w:left="0" w:right="0" w:firstLine="0"/>
              <w:jc w:val="both"/>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kern w:val="2"/>
                <w:sz w:val="24"/>
                <w:szCs w:val="24"/>
                <w:vertAlign w:val="baseline"/>
                <w:lang w:val="en-US" w:eastAsia="zh-CN" w:bidi="ar"/>
              </w:rPr>
              <w:t>不合格</w:t>
            </w:r>
            <w:r>
              <w:rPr>
                <w:rFonts w:hint="default" w:ascii="仿宋_GB2312" w:hAnsi="仿宋_GB2312" w:eastAsia="仿宋_GB2312" w:cs="仿宋_GB2312"/>
                <w:b w:val="0"/>
                <w:bCs w:val="0"/>
                <w:caps w:val="0"/>
                <w:color w:val="auto"/>
                <w:kern w:val="2"/>
                <w:sz w:val="24"/>
                <w:szCs w:val="24"/>
                <w:vertAlign w:val="baseline"/>
                <w:lang w:val="en-US" w:eastAsia="zh-CN" w:bidi="ar"/>
              </w:rPr>
              <w:sym w:font="Wingdings 2" w:char="00A3"/>
            </w:r>
          </w:p>
        </w:tc>
      </w:tr>
      <w:tr w14:paraId="6152849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851" w:hRule="atLeast"/>
        </w:trPr>
        <w:tc>
          <w:tcPr>
            <w:tcW w:w="4367" w:type="pct"/>
            <w:gridSpan w:val="3"/>
            <w:tcBorders>
              <w:top w:val="single" w:color="auto" w:sz="4" w:space="0"/>
              <w:left w:val="single" w:color="auto" w:sz="4" w:space="0"/>
              <w:bottom w:val="single" w:color="auto" w:sz="4" w:space="0"/>
              <w:right w:val="single" w:color="auto" w:sz="6" w:space="0"/>
            </w:tcBorders>
            <w:noWrap w:val="0"/>
            <w:tcMar>
              <w:top w:w="0" w:type="dxa"/>
              <w:left w:w="60" w:type="dxa"/>
              <w:bottom w:w="0" w:type="dxa"/>
              <w:right w:w="60" w:type="dxa"/>
            </w:tcMar>
            <w:vAlign w:val="center"/>
          </w:tcPr>
          <w:p w14:paraId="0483337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40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审核情况</w:t>
            </w:r>
          </w:p>
        </w:tc>
        <w:tc>
          <w:tcPr>
            <w:tcW w:w="632" w:type="pct"/>
            <w:tcBorders>
              <w:top w:val="single" w:color="auto" w:sz="4" w:space="0"/>
              <w:left w:val="nil"/>
              <w:bottom w:val="single" w:color="auto" w:sz="4" w:space="0"/>
              <w:right w:val="single" w:color="auto" w:sz="4" w:space="0"/>
            </w:tcBorders>
            <w:noWrap w:val="0"/>
            <w:tcMar>
              <w:top w:w="0" w:type="dxa"/>
              <w:left w:w="60" w:type="dxa"/>
              <w:bottom w:w="0" w:type="dxa"/>
              <w:right w:w="60" w:type="dxa"/>
            </w:tcMar>
            <w:vAlign w:val="center"/>
          </w:tcPr>
          <w:p w14:paraId="625D63EE">
            <w:pPr>
              <w:keepNext w:val="0"/>
              <w:keepLines w:val="0"/>
              <w:pageBreakBefore w:val="0"/>
              <w:widowControl w:val="0"/>
              <w:suppressLineNumbers w:val="0"/>
              <w:kinsoku w:val="0"/>
              <w:wordWrap/>
              <w:overflowPunct/>
              <w:topLinePunct w:val="0"/>
              <w:autoSpaceDE/>
              <w:autoSpaceDN w:val="0"/>
              <w:bidi w:val="0"/>
              <w:adjustRightInd w:val="0"/>
              <w:snapToGrid w:val="0"/>
              <w:spacing w:before="0" w:beforeAutospacing="0" w:after="0" w:afterAutospacing="0" w:line="400" w:lineRule="atLeast"/>
              <w:ind w:left="0" w:right="0" w:firstLine="0"/>
              <w:jc w:val="left"/>
              <w:textAlignment w:val="baseline"/>
              <w:rPr>
                <w:rFonts w:hint="eastAsia" w:ascii="仿宋_GB2312" w:hAnsi="仿宋_GB2312" w:eastAsia="仿宋_GB2312" w:cs="仿宋_GB2312"/>
                <w:caps w:val="0"/>
                <w:color w:val="auto"/>
                <w:kern w:val="2"/>
                <w:sz w:val="24"/>
                <w:szCs w:val="24"/>
                <w:vertAlign w:val="baseline"/>
                <w:lang w:val="en-US" w:eastAsia="zh-CN" w:bidi="ar"/>
              </w:rPr>
            </w:pPr>
            <w:r>
              <w:rPr>
                <w:rFonts w:hint="eastAsia" w:ascii="仿宋_GB2312" w:hAnsi="仿宋_GB2312" w:eastAsia="仿宋_GB2312" w:cs="仿宋_GB2312"/>
                <w:b w:val="0"/>
                <w:bCs w:val="0"/>
                <w:caps w:val="0"/>
                <w:color w:val="auto"/>
                <w:kern w:val="2"/>
                <w:sz w:val="24"/>
                <w:szCs w:val="24"/>
                <w:vertAlign w:val="baseline"/>
                <w:lang w:val="en-US" w:eastAsia="zh-CN" w:bidi="ar"/>
              </w:rPr>
              <w:t>合  格</w:t>
            </w:r>
            <w:r>
              <w:rPr>
                <w:rFonts w:hint="default" w:ascii="仿宋_GB2312" w:hAnsi="仿宋_GB2312" w:eastAsia="仿宋_GB2312" w:cs="仿宋_GB2312"/>
                <w:b w:val="0"/>
                <w:bCs w:val="0"/>
                <w:caps w:val="0"/>
                <w:color w:val="auto"/>
                <w:kern w:val="2"/>
                <w:sz w:val="24"/>
                <w:szCs w:val="24"/>
                <w:vertAlign w:val="baseline"/>
                <w:lang w:val="en-US" w:eastAsia="zh-CN" w:bidi="ar"/>
              </w:rPr>
              <w:sym w:font="Wingdings 2" w:char="00A3"/>
            </w:r>
          </w:p>
          <w:p w14:paraId="28A1DDEF">
            <w:pPr>
              <w:keepNext w:val="0"/>
              <w:keepLines w:val="0"/>
              <w:pageBreakBefore w:val="0"/>
              <w:widowControl/>
              <w:suppressLineNumbers w:val="0"/>
              <w:kinsoku/>
              <w:wordWrap/>
              <w:overflowPunct/>
              <w:topLinePunct w:val="0"/>
              <w:autoSpaceDE/>
              <w:autoSpaceDN w:val="0"/>
              <w:bidi w:val="0"/>
              <w:adjustRightInd/>
              <w:snapToGrid w:val="0"/>
              <w:spacing w:before="0" w:beforeAutospacing="0" w:after="0" w:afterAutospacing="0" w:line="400" w:lineRule="atLeast"/>
              <w:ind w:left="0" w:right="0" w:firstLine="0"/>
              <w:jc w:val="both"/>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kern w:val="2"/>
                <w:sz w:val="24"/>
                <w:szCs w:val="24"/>
                <w:vertAlign w:val="baseline"/>
                <w:lang w:val="en-US" w:eastAsia="zh-CN" w:bidi="ar"/>
              </w:rPr>
              <w:t>不合格</w:t>
            </w:r>
            <w:r>
              <w:rPr>
                <w:rFonts w:hint="default" w:ascii="仿宋_GB2312" w:hAnsi="仿宋_GB2312" w:eastAsia="仿宋_GB2312" w:cs="仿宋_GB2312"/>
                <w:b w:val="0"/>
                <w:bCs w:val="0"/>
                <w:caps w:val="0"/>
                <w:color w:val="auto"/>
                <w:kern w:val="2"/>
                <w:sz w:val="24"/>
                <w:szCs w:val="24"/>
                <w:vertAlign w:val="baseline"/>
                <w:lang w:val="en-US" w:eastAsia="zh-CN" w:bidi="ar"/>
              </w:rPr>
              <w:sym w:font="Wingdings 2" w:char="00A3"/>
            </w:r>
          </w:p>
        </w:tc>
      </w:tr>
      <w:tr w14:paraId="218927D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59" w:hRule="atLeast"/>
        </w:trPr>
        <w:tc>
          <w:tcPr>
            <w:tcW w:w="5000" w:type="pct"/>
            <w:gridSpan w:val="4"/>
            <w:tcBorders>
              <w:top w:val="single" w:color="auto" w:sz="4" w:space="0"/>
              <w:left w:val="single" w:color="auto" w:sz="6" w:space="0"/>
              <w:bottom w:val="single" w:color="auto" w:sz="6" w:space="0"/>
              <w:right w:val="single" w:color="auto" w:sz="6" w:space="0"/>
            </w:tcBorders>
            <w:noWrap w:val="0"/>
            <w:tcMar>
              <w:top w:w="0" w:type="dxa"/>
              <w:left w:w="60" w:type="dxa"/>
              <w:bottom w:w="0" w:type="dxa"/>
              <w:right w:w="60" w:type="dxa"/>
            </w:tcMar>
            <w:vAlign w:val="center"/>
          </w:tcPr>
          <w:p w14:paraId="76920F2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40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以上为基础指标，有一项不合格，审核结果即为不合格</w:t>
            </w:r>
          </w:p>
        </w:tc>
      </w:tr>
      <w:tr w14:paraId="6615CD0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997" w:hRule="atLeast"/>
        </w:trPr>
        <w:tc>
          <w:tcPr>
            <w:tcW w:w="427" w:type="pct"/>
            <w:tcBorders>
              <w:top w:val="single" w:color="auto" w:sz="6" w:space="0"/>
              <w:left w:val="single" w:color="auto" w:sz="6" w:space="0"/>
              <w:bottom w:val="single" w:color="auto" w:sz="6" w:space="0"/>
              <w:right w:val="single" w:color="auto" w:sz="6" w:space="0"/>
            </w:tcBorders>
            <w:noWrap w:val="0"/>
            <w:tcMar>
              <w:top w:w="0" w:type="dxa"/>
              <w:left w:w="60" w:type="dxa"/>
              <w:bottom w:w="0" w:type="dxa"/>
              <w:right w:w="60" w:type="dxa"/>
            </w:tcMar>
            <w:vAlign w:val="center"/>
          </w:tcPr>
          <w:p w14:paraId="0E7630A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40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1</w:t>
            </w:r>
          </w:p>
        </w:tc>
        <w:tc>
          <w:tcPr>
            <w:tcW w:w="758" w:type="pct"/>
            <w:tcBorders>
              <w:top w:val="single" w:color="auto" w:sz="6" w:space="0"/>
              <w:left w:val="single" w:color="auto" w:sz="6" w:space="0"/>
              <w:bottom w:val="single" w:color="auto" w:sz="6" w:space="0"/>
              <w:right w:val="single" w:color="auto" w:sz="6" w:space="0"/>
            </w:tcBorders>
            <w:noWrap w:val="0"/>
            <w:tcMar>
              <w:top w:w="0" w:type="dxa"/>
              <w:left w:w="60" w:type="dxa"/>
              <w:bottom w:w="0" w:type="dxa"/>
              <w:right w:w="60" w:type="dxa"/>
            </w:tcMar>
            <w:vAlign w:val="center"/>
          </w:tcPr>
          <w:p w14:paraId="22C457C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40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运营时间</w:t>
            </w:r>
          </w:p>
        </w:tc>
        <w:tc>
          <w:tcPr>
            <w:tcW w:w="3182" w:type="pct"/>
            <w:tcBorders>
              <w:top w:val="single" w:color="auto" w:sz="6" w:space="0"/>
              <w:left w:val="single" w:color="auto" w:sz="6" w:space="0"/>
              <w:bottom w:val="single" w:color="auto" w:sz="6" w:space="0"/>
              <w:right w:val="single" w:color="auto" w:sz="6" w:space="0"/>
            </w:tcBorders>
            <w:noWrap w:val="0"/>
            <w:tcMar>
              <w:top w:w="0" w:type="dxa"/>
              <w:left w:w="60" w:type="dxa"/>
              <w:bottom w:w="0" w:type="dxa"/>
              <w:right w:w="60" w:type="dxa"/>
            </w:tcMar>
            <w:vAlign w:val="center"/>
          </w:tcPr>
          <w:p w14:paraId="6551F8A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400" w:lineRule="atLeast"/>
              <w:ind w:left="0" w:right="0" w:firstLine="0"/>
              <w:jc w:val="both"/>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在固定营业场所正常开展护理服务满3个月以上，每增加1个月，得</w:t>
            </w:r>
            <w:r>
              <w:rPr>
                <w:rFonts w:hint="eastAsia" w:ascii="仿宋_GB2312" w:hAnsi="仿宋_GB2312" w:eastAsia="仿宋_GB2312" w:cs="仿宋_GB2312"/>
                <w:b w:val="0"/>
                <w:bCs w:val="0"/>
                <w:caps w:val="0"/>
                <w:color w:val="auto"/>
                <w:sz w:val="24"/>
                <w:szCs w:val="24"/>
                <w:vertAlign w:val="baseline"/>
                <w:lang w:val="en-US" w:eastAsia="zh-CN"/>
              </w:rPr>
              <w:t>1</w:t>
            </w:r>
            <w:r>
              <w:rPr>
                <w:rFonts w:hint="eastAsia" w:ascii="仿宋_GB2312" w:hAnsi="仿宋_GB2312" w:eastAsia="仿宋_GB2312" w:cs="仿宋_GB2312"/>
                <w:b w:val="0"/>
                <w:bCs w:val="0"/>
                <w:caps w:val="0"/>
                <w:color w:val="auto"/>
                <w:sz w:val="24"/>
                <w:szCs w:val="24"/>
                <w:vertAlign w:val="baseline"/>
              </w:rPr>
              <w:t>分，最高得</w:t>
            </w:r>
            <w:r>
              <w:rPr>
                <w:rFonts w:hint="eastAsia" w:ascii="仿宋_GB2312" w:hAnsi="仿宋_GB2312" w:eastAsia="仿宋_GB2312" w:cs="仿宋_GB2312"/>
                <w:b w:val="0"/>
                <w:bCs w:val="0"/>
                <w:caps w:val="0"/>
                <w:color w:val="auto"/>
                <w:sz w:val="24"/>
                <w:szCs w:val="24"/>
                <w:vertAlign w:val="baseline"/>
                <w:lang w:val="en-US" w:eastAsia="zh-CN"/>
              </w:rPr>
              <w:t>9</w:t>
            </w:r>
            <w:r>
              <w:rPr>
                <w:rFonts w:hint="eastAsia" w:ascii="仿宋_GB2312" w:hAnsi="仿宋_GB2312" w:eastAsia="仿宋_GB2312" w:cs="仿宋_GB2312"/>
                <w:b w:val="0"/>
                <w:bCs w:val="0"/>
                <w:caps w:val="0"/>
                <w:color w:val="auto"/>
                <w:sz w:val="24"/>
                <w:szCs w:val="24"/>
                <w:vertAlign w:val="baseline"/>
              </w:rPr>
              <w:t>分。</w:t>
            </w:r>
          </w:p>
        </w:tc>
        <w:tc>
          <w:tcPr>
            <w:tcW w:w="632" w:type="pct"/>
            <w:tcBorders>
              <w:top w:val="single" w:color="auto" w:sz="6" w:space="0"/>
              <w:left w:val="single" w:color="auto" w:sz="6" w:space="0"/>
              <w:bottom w:val="single" w:color="auto" w:sz="6" w:space="0"/>
              <w:right w:val="single" w:color="auto" w:sz="6" w:space="0"/>
            </w:tcBorders>
            <w:noWrap w:val="0"/>
            <w:tcMar>
              <w:top w:w="0" w:type="dxa"/>
              <w:left w:w="60" w:type="dxa"/>
              <w:bottom w:w="0" w:type="dxa"/>
              <w:right w:w="60" w:type="dxa"/>
            </w:tcMar>
            <w:vAlign w:val="center"/>
          </w:tcPr>
          <w:p w14:paraId="6D8362A6">
            <w:pPr>
              <w:keepNext w:val="0"/>
              <w:keepLines w:val="0"/>
              <w:pageBreakBefore w:val="0"/>
              <w:widowControl/>
              <w:suppressLineNumbers w:val="0"/>
              <w:kinsoku/>
              <w:wordWrap/>
              <w:overflowPunct/>
              <w:topLinePunct w:val="0"/>
              <w:autoSpaceDE/>
              <w:autoSpaceDN w:val="0"/>
              <w:bidi w:val="0"/>
              <w:adjustRightInd/>
              <w:snapToGrid w:val="0"/>
              <w:spacing w:before="0" w:beforeAutospacing="0" w:after="0" w:afterAutospacing="0" w:line="400" w:lineRule="atLeast"/>
              <w:ind w:left="0" w:right="0" w:firstLine="0"/>
              <w:jc w:val="both"/>
              <w:rPr>
                <w:rFonts w:hint="eastAsia" w:ascii="仿宋_GB2312" w:hAnsi="仿宋_GB2312" w:eastAsia="仿宋_GB2312" w:cs="仿宋_GB2312"/>
                <w:b w:val="0"/>
                <w:bCs w:val="0"/>
                <w:caps w:val="0"/>
                <w:color w:val="auto"/>
                <w:sz w:val="24"/>
                <w:szCs w:val="24"/>
                <w:vertAlign w:val="baseline"/>
              </w:rPr>
            </w:pPr>
          </w:p>
        </w:tc>
      </w:tr>
      <w:tr w14:paraId="519992A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862" w:hRule="atLeast"/>
        </w:trPr>
        <w:tc>
          <w:tcPr>
            <w:tcW w:w="427" w:type="pct"/>
            <w:tcBorders>
              <w:top w:val="single" w:color="auto" w:sz="6" w:space="0"/>
              <w:left w:val="single" w:color="auto" w:sz="6" w:space="0"/>
              <w:bottom w:val="single" w:color="auto" w:sz="6" w:space="0"/>
              <w:right w:val="single" w:color="auto" w:sz="6" w:space="0"/>
            </w:tcBorders>
            <w:noWrap w:val="0"/>
            <w:tcMar>
              <w:top w:w="0" w:type="dxa"/>
              <w:left w:w="60" w:type="dxa"/>
              <w:bottom w:w="0" w:type="dxa"/>
              <w:right w:w="60" w:type="dxa"/>
            </w:tcMar>
            <w:vAlign w:val="center"/>
          </w:tcPr>
          <w:p w14:paraId="1BB55BE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40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2</w:t>
            </w:r>
          </w:p>
        </w:tc>
        <w:tc>
          <w:tcPr>
            <w:tcW w:w="758" w:type="pct"/>
            <w:tcBorders>
              <w:top w:val="single" w:color="auto" w:sz="6" w:space="0"/>
              <w:left w:val="nil"/>
              <w:bottom w:val="single" w:color="auto" w:sz="6" w:space="0"/>
              <w:right w:val="single" w:color="auto" w:sz="6" w:space="0"/>
            </w:tcBorders>
            <w:noWrap w:val="0"/>
            <w:tcMar>
              <w:top w:w="0" w:type="dxa"/>
              <w:left w:w="60" w:type="dxa"/>
              <w:bottom w:w="0" w:type="dxa"/>
              <w:right w:w="60" w:type="dxa"/>
            </w:tcMar>
            <w:vAlign w:val="center"/>
          </w:tcPr>
          <w:p w14:paraId="0470F94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40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注册资金</w:t>
            </w:r>
          </w:p>
        </w:tc>
        <w:tc>
          <w:tcPr>
            <w:tcW w:w="3182" w:type="pct"/>
            <w:tcBorders>
              <w:top w:val="single" w:color="auto" w:sz="6" w:space="0"/>
              <w:left w:val="nil"/>
              <w:bottom w:val="single" w:color="auto" w:sz="6" w:space="0"/>
              <w:right w:val="single" w:color="auto" w:sz="6" w:space="0"/>
            </w:tcBorders>
            <w:noWrap w:val="0"/>
            <w:tcMar>
              <w:top w:w="0" w:type="dxa"/>
              <w:left w:w="60" w:type="dxa"/>
              <w:bottom w:w="0" w:type="dxa"/>
              <w:right w:w="60" w:type="dxa"/>
            </w:tcMar>
            <w:vAlign w:val="center"/>
          </w:tcPr>
          <w:p w14:paraId="433979E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400" w:lineRule="atLeast"/>
              <w:ind w:left="0" w:right="0" w:firstLine="0"/>
              <w:jc w:val="both"/>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机构注册资本或开办资金在20万（含）以上，每增加10万，得0.5分，最高得</w:t>
            </w:r>
            <w:r>
              <w:rPr>
                <w:rFonts w:hint="eastAsia" w:ascii="仿宋_GB2312" w:hAnsi="仿宋_GB2312" w:eastAsia="仿宋_GB2312" w:cs="仿宋_GB2312"/>
                <w:b w:val="0"/>
                <w:bCs w:val="0"/>
                <w:caps w:val="0"/>
                <w:color w:val="auto"/>
                <w:sz w:val="24"/>
                <w:szCs w:val="24"/>
                <w:vertAlign w:val="baseline"/>
                <w:lang w:val="en-US" w:eastAsia="zh-CN"/>
              </w:rPr>
              <w:t>8</w:t>
            </w:r>
            <w:r>
              <w:rPr>
                <w:rFonts w:hint="eastAsia" w:ascii="仿宋_GB2312" w:hAnsi="仿宋_GB2312" w:eastAsia="仿宋_GB2312" w:cs="仿宋_GB2312"/>
                <w:b w:val="0"/>
                <w:bCs w:val="0"/>
                <w:caps w:val="0"/>
                <w:color w:val="auto"/>
                <w:sz w:val="24"/>
                <w:szCs w:val="24"/>
                <w:vertAlign w:val="baseline"/>
              </w:rPr>
              <w:t>分。</w:t>
            </w:r>
          </w:p>
        </w:tc>
        <w:tc>
          <w:tcPr>
            <w:tcW w:w="632" w:type="pct"/>
            <w:tcBorders>
              <w:top w:val="single" w:color="auto" w:sz="6" w:space="0"/>
              <w:left w:val="nil"/>
              <w:bottom w:val="single" w:color="auto" w:sz="6" w:space="0"/>
              <w:right w:val="single" w:color="auto" w:sz="6" w:space="0"/>
            </w:tcBorders>
            <w:noWrap w:val="0"/>
            <w:tcMar>
              <w:top w:w="0" w:type="dxa"/>
              <w:left w:w="60" w:type="dxa"/>
              <w:bottom w:w="0" w:type="dxa"/>
              <w:right w:w="60" w:type="dxa"/>
            </w:tcMar>
            <w:vAlign w:val="center"/>
          </w:tcPr>
          <w:p w14:paraId="6E736D6E">
            <w:pPr>
              <w:keepNext w:val="0"/>
              <w:keepLines w:val="0"/>
              <w:pageBreakBefore w:val="0"/>
              <w:widowControl/>
              <w:suppressLineNumbers w:val="0"/>
              <w:kinsoku/>
              <w:wordWrap/>
              <w:overflowPunct/>
              <w:topLinePunct w:val="0"/>
              <w:autoSpaceDE/>
              <w:autoSpaceDN w:val="0"/>
              <w:bidi w:val="0"/>
              <w:adjustRightInd/>
              <w:snapToGrid w:val="0"/>
              <w:spacing w:before="0" w:beforeAutospacing="0" w:after="0" w:afterAutospacing="0" w:line="400" w:lineRule="atLeast"/>
              <w:ind w:left="0" w:right="0" w:firstLine="0"/>
              <w:jc w:val="both"/>
              <w:rPr>
                <w:rFonts w:hint="eastAsia" w:ascii="仿宋_GB2312" w:hAnsi="仿宋_GB2312" w:eastAsia="仿宋_GB2312" w:cs="仿宋_GB2312"/>
                <w:b w:val="0"/>
                <w:bCs w:val="0"/>
                <w:caps w:val="0"/>
                <w:color w:val="auto"/>
                <w:sz w:val="24"/>
                <w:szCs w:val="24"/>
                <w:vertAlign w:val="baseline"/>
              </w:rPr>
            </w:pPr>
          </w:p>
        </w:tc>
      </w:tr>
      <w:tr w14:paraId="503D789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137" w:hRule="atLeast"/>
        </w:trPr>
        <w:tc>
          <w:tcPr>
            <w:tcW w:w="427" w:type="pct"/>
            <w:tcBorders>
              <w:top w:val="nil"/>
              <w:left w:val="single" w:color="auto" w:sz="6" w:space="0"/>
              <w:bottom w:val="single" w:color="000000" w:sz="6" w:space="0"/>
              <w:right w:val="single" w:color="auto" w:sz="6" w:space="0"/>
            </w:tcBorders>
            <w:noWrap w:val="0"/>
            <w:tcMar>
              <w:top w:w="0" w:type="dxa"/>
              <w:left w:w="60" w:type="dxa"/>
              <w:bottom w:w="0" w:type="dxa"/>
              <w:right w:w="60" w:type="dxa"/>
            </w:tcMar>
            <w:vAlign w:val="center"/>
          </w:tcPr>
          <w:p w14:paraId="409D62C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40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3</w:t>
            </w:r>
          </w:p>
        </w:tc>
        <w:tc>
          <w:tcPr>
            <w:tcW w:w="758" w:type="pct"/>
            <w:tcBorders>
              <w:top w:val="nil"/>
              <w:left w:val="nil"/>
              <w:bottom w:val="single" w:color="000000" w:sz="6" w:space="0"/>
              <w:right w:val="single" w:color="auto" w:sz="6" w:space="0"/>
            </w:tcBorders>
            <w:noWrap w:val="0"/>
            <w:tcMar>
              <w:top w:w="0" w:type="dxa"/>
              <w:left w:w="60" w:type="dxa"/>
              <w:bottom w:w="0" w:type="dxa"/>
              <w:right w:w="60" w:type="dxa"/>
            </w:tcMar>
            <w:vAlign w:val="center"/>
          </w:tcPr>
          <w:p w14:paraId="25576A7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40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运营场所</w:t>
            </w:r>
          </w:p>
        </w:tc>
        <w:tc>
          <w:tcPr>
            <w:tcW w:w="3182" w:type="pct"/>
            <w:tcBorders>
              <w:top w:val="nil"/>
              <w:left w:val="nil"/>
              <w:bottom w:val="single" w:color="000000" w:sz="6" w:space="0"/>
              <w:right w:val="single" w:color="auto" w:sz="6" w:space="0"/>
            </w:tcBorders>
            <w:noWrap w:val="0"/>
            <w:tcMar>
              <w:top w:w="0" w:type="dxa"/>
              <w:left w:w="60" w:type="dxa"/>
              <w:bottom w:w="0" w:type="dxa"/>
              <w:right w:w="60" w:type="dxa"/>
            </w:tcMar>
            <w:vAlign w:val="center"/>
          </w:tcPr>
          <w:p w14:paraId="000837F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400" w:lineRule="atLeast"/>
              <w:ind w:left="0" w:right="0" w:firstLine="0"/>
              <w:jc w:val="both"/>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经营场所建筑面积在</w:t>
            </w:r>
            <w:r>
              <w:rPr>
                <w:rFonts w:hint="eastAsia" w:ascii="仿宋_GB2312" w:hAnsi="仿宋_GB2312" w:eastAsia="仿宋_GB2312" w:cs="仿宋_GB2312"/>
                <w:b w:val="0"/>
                <w:bCs w:val="0"/>
                <w:caps w:val="0"/>
                <w:color w:val="auto"/>
                <w:sz w:val="24"/>
                <w:szCs w:val="24"/>
                <w:vertAlign w:val="baseline"/>
                <w:lang w:val="en-US" w:eastAsia="zh-CN"/>
              </w:rPr>
              <w:t>7</w:t>
            </w:r>
            <w:r>
              <w:rPr>
                <w:rFonts w:hint="eastAsia" w:ascii="仿宋_GB2312" w:hAnsi="仿宋_GB2312" w:eastAsia="仿宋_GB2312" w:cs="仿宋_GB2312"/>
                <w:b w:val="0"/>
                <w:bCs w:val="0"/>
                <w:caps w:val="0"/>
                <w:color w:val="auto"/>
                <w:sz w:val="24"/>
                <w:szCs w:val="24"/>
                <w:vertAlign w:val="baseline"/>
              </w:rPr>
              <w:t>0平米（含）以上，每增加10个平方，加0.</w:t>
            </w:r>
            <w:r>
              <w:rPr>
                <w:rFonts w:hint="eastAsia" w:ascii="仿宋_GB2312" w:hAnsi="仿宋_GB2312" w:eastAsia="仿宋_GB2312" w:cs="仿宋_GB2312"/>
                <w:b w:val="0"/>
                <w:bCs w:val="0"/>
                <w:caps w:val="0"/>
                <w:color w:val="auto"/>
                <w:sz w:val="24"/>
                <w:szCs w:val="24"/>
                <w:vertAlign w:val="baseline"/>
                <w:lang w:val="en-US" w:eastAsia="zh-CN"/>
              </w:rPr>
              <w:t>8</w:t>
            </w:r>
            <w:r>
              <w:rPr>
                <w:rFonts w:hint="eastAsia" w:ascii="仿宋_GB2312" w:hAnsi="仿宋_GB2312" w:eastAsia="仿宋_GB2312" w:cs="仿宋_GB2312"/>
                <w:b w:val="0"/>
                <w:bCs w:val="0"/>
                <w:caps w:val="0"/>
                <w:color w:val="auto"/>
                <w:sz w:val="24"/>
                <w:szCs w:val="24"/>
                <w:vertAlign w:val="baseline"/>
              </w:rPr>
              <w:t>分，最高得10分；经营场所租赁协议剩余有效期超过5年，得5分；自有经营场所产权，得5分。具备基础的硬件设备：包括设置独立的咨询服务区、业务办公区（需配合符合要求的电脑设施设备）、实名制档案管理区、实操培训区、物资存放区或消毒灭菌区。满足一个功能区得2分，最高得10分。</w:t>
            </w:r>
          </w:p>
        </w:tc>
        <w:tc>
          <w:tcPr>
            <w:tcW w:w="632" w:type="pct"/>
            <w:tcBorders>
              <w:top w:val="single" w:color="auto" w:sz="6" w:space="0"/>
              <w:left w:val="nil"/>
              <w:bottom w:val="single" w:color="000000" w:sz="6" w:space="0"/>
              <w:right w:val="single" w:color="auto" w:sz="6" w:space="0"/>
            </w:tcBorders>
            <w:noWrap w:val="0"/>
            <w:tcMar>
              <w:top w:w="0" w:type="dxa"/>
              <w:left w:w="60" w:type="dxa"/>
              <w:bottom w:w="0" w:type="dxa"/>
              <w:right w:w="60" w:type="dxa"/>
            </w:tcMar>
            <w:vAlign w:val="center"/>
          </w:tcPr>
          <w:p w14:paraId="2252C1BF">
            <w:pPr>
              <w:keepNext w:val="0"/>
              <w:keepLines w:val="0"/>
              <w:pageBreakBefore w:val="0"/>
              <w:widowControl/>
              <w:suppressLineNumbers w:val="0"/>
              <w:kinsoku/>
              <w:wordWrap/>
              <w:overflowPunct/>
              <w:topLinePunct w:val="0"/>
              <w:autoSpaceDE/>
              <w:autoSpaceDN w:val="0"/>
              <w:bidi w:val="0"/>
              <w:adjustRightInd/>
              <w:snapToGrid w:val="0"/>
              <w:spacing w:before="0" w:beforeAutospacing="0" w:after="0" w:afterAutospacing="0" w:line="400" w:lineRule="atLeast"/>
              <w:ind w:left="0" w:right="0" w:firstLine="0"/>
              <w:jc w:val="both"/>
              <w:rPr>
                <w:rFonts w:hint="eastAsia" w:ascii="仿宋_GB2312" w:hAnsi="仿宋_GB2312" w:eastAsia="仿宋_GB2312" w:cs="仿宋_GB2312"/>
                <w:b w:val="0"/>
                <w:bCs w:val="0"/>
                <w:caps w:val="0"/>
                <w:color w:val="auto"/>
                <w:sz w:val="24"/>
                <w:szCs w:val="24"/>
                <w:vertAlign w:val="baseline"/>
              </w:rPr>
            </w:pPr>
          </w:p>
        </w:tc>
      </w:tr>
      <w:tr w14:paraId="4684D67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965" w:hRule="atLeast"/>
        </w:trPr>
        <w:tc>
          <w:tcPr>
            <w:tcW w:w="427" w:type="pct"/>
            <w:tcBorders>
              <w:top w:val="single" w:color="000000" w:sz="6" w:space="0"/>
              <w:left w:val="single" w:color="000000" w:sz="6" w:space="0"/>
              <w:bottom w:val="single" w:color="000000" w:sz="6" w:space="0"/>
              <w:right w:val="single" w:color="000000" w:sz="6" w:space="0"/>
            </w:tcBorders>
            <w:noWrap w:val="0"/>
            <w:tcMar>
              <w:top w:w="0" w:type="dxa"/>
              <w:left w:w="60" w:type="dxa"/>
              <w:bottom w:w="0" w:type="dxa"/>
              <w:right w:w="60" w:type="dxa"/>
            </w:tcMar>
            <w:vAlign w:val="center"/>
          </w:tcPr>
          <w:p w14:paraId="6C340BF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400" w:lineRule="atLeast"/>
              <w:ind w:left="0" w:right="0" w:firstLine="0"/>
              <w:jc w:val="center"/>
              <w:rPr>
                <w:rFonts w:hint="eastAsia" w:ascii="仿宋_GB2312" w:hAnsi="仿宋_GB2312" w:eastAsia="仿宋_GB2312" w:cs="仿宋_GB2312"/>
                <w:b w:val="0"/>
                <w:bCs w:val="0"/>
                <w:caps w:val="0"/>
                <w:color w:val="auto"/>
                <w:sz w:val="24"/>
                <w:szCs w:val="24"/>
                <w:vertAlign w:val="baseline"/>
                <w:lang w:val="en-US" w:eastAsia="zh-CN"/>
              </w:rPr>
            </w:pPr>
            <w:r>
              <w:rPr>
                <w:rFonts w:hint="eastAsia" w:ascii="仿宋_GB2312" w:hAnsi="仿宋_GB2312" w:eastAsia="仿宋_GB2312" w:cs="仿宋_GB2312"/>
                <w:b w:val="0"/>
                <w:bCs w:val="0"/>
                <w:caps w:val="0"/>
                <w:color w:val="auto"/>
                <w:sz w:val="24"/>
                <w:szCs w:val="24"/>
                <w:vertAlign w:val="baseline"/>
                <w:lang w:val="en-US" w:eastAsia="zh-CN"/>
              </w:rPr>
              <w:t>4</w:t>
            </w:r>
          </w:p>
        </w:tc>
        <w:tc>
          <w:tcPr>
            <w:tcW w:w="758" w:type="pct"/>
            <w:tcBorders>
              <w:top w:val="single" w:color="000000" w:sz="6" w:space="0"/>
              <w:left w:val="single" w:color="000000" w:sz="6" w:space="0"/>
              <w:bottom w:val="single" w:color="000000" w:sz="6" w:space="0"/>
              <w:right w:val="single" w:color="000000" w:sz="6" w:space="0"/>
            </w:tcBorders>
            <w:noWrap w:val="0"/>
            <w:tcMar>
              <w:top w:w="0" w:type="dxa"/>
              <w:left w:w="60" w:type="dxa"/>
              <w:bottom w:w="0" w:type="dxa"/>
              <w:right w:w="60" w:type="dxa"/>
            </w:tcMar>
            <w:vAlign w:val="center"/>
          </w:tcPr>
          <w:p w14:paraId="62F9E92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400" w:lineRule="atLeast"/>
              <w:ind w:left="0" w:right="0" w:firstLine="0"/>
              <w:jc w:val="both"/>
              <w:rPr>
                <w:rFonts w:hint="eastAsia" w:ascii="仿宋_GB2312" w:hAnsi="仿宋_GB2312" w:eastAsia="仿宋_GB2312" w:cs="仿宋_GB2312"/>
                <w:b w:val="0"/>
                <w:bCs w:val="0"/>
                <w:caps w:val="0"/>
                <w:color w:val="auto"/>
                <w:sz w:val="24"/>
                <w:szCs w:val="24"/>
                <w:vertAlign w:val="baseline"/>
                <w:lang w:val="en-US" w:eastAsia="zh-CN"/>
              </w:rPr>
            </w:pPr>
            <w:r>
              <w:rPr>
                <w:rFonts w:hint="eastAsia" w:ascii="仿宋_GB2312" w:hAnsi="仿宋_GB2312" w:eastAsia="仿宋_GB2312" w:cs="仿宋_GB2312"/>
                <w:b w:val="0"/>
                <w:bCs w:val="0"/>
                <w:caps w:val="0"/>
                <w:color w:val="auto"/>
                <w:sz w:val="24"/>
                <w:szCs w:val="24"/>
                <w:vertAlign w:val="baseline"/>
                <w:lang w:val="en-US" w:eastAsia="zh-CN"/>
              </w:rPr>
              <w:t>运营标准</w:t>
            </w:r>
          </w:p>
        </w:tc>
        <w:tc>
          <w:tcPr>
            <w:tcW w:w="3182" w:type="pct"/>
            <w:tcBorders>
              <w:top w:val="single" w:color="000000" w:sz="6" w:space="0"/>
              <w:left w:val="single" w:color="000000" w:sz="6" w:space="0"/>
              <w:bottom w:val="single" w:color="000000" w:sz="6" w:space="0"/>
              <w:right w:val="single" w:color="000000" w:sz="6" w:space="0"/>
            </w:tcBorders>
            <w:noWrap w:val="0"/>
            <w:tcMar>
              <w:top w:w="0" w:type="dxa"/>
              <w:left w:w="60" w:type="dxa"/>
              <w:bottom w:w="0" w:type="dxa"/>
              <w:right w:w="60" w:type="dxa"/>
            </w:tcMar>
            <w:vAlign w:val="center"/>
          </w:tcPr>
          <w:p w14:paraId="44B7CB1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400" w:lineRule="atLeast"/>
              <w:ind w:left="0" w:right="0" w:firstLine="0"/>
              <w:jc w:val="both"/>
              <w:rPr>
                <w:rFonts w:hint="eastAsia" w:ascii="仿宋_GB2312" w:hAnsi="仿宋_GB2312" w:eastAsia="仿宋_GB2312" w:cs="仿宋_GB2312"/>
                <w:b w:val="0"/>
                <w:bCs w:val="0"/>
                <w:caps w:val="0"/>
                <w:color w:val="auto"/>
                <w:sz w:val="24"/>
                <w:szCs w:val="24"/>
                <w:vertAlign w:val="baseline"/>
                <w:lang w:val="en-US" w:eastAsia="zh-CN"/>
              </w:rPr>
            </w:pPr>
            <w:r>
              <w:rPr>
                <w:rFonts w:hint="eastAsia" w:ascii="仿宋_GB2312" w:hAnsi="仿宋_GB2312" w:eastAsia="仿宋_GB2312" w:cs="仿宋_GB2312"/>
                <w:b w:val="0"/>
                <w:bCs w:val="0"/>
                <w:caps w:val="0"/>
                <w:color w:val="auto"/>
                <w:sz w:val="24"/>
                <w:szCs w:val="24"/>
                <w:vertAlign w:val="baseline"/>
              </w:rPr>
              <w:t>具有与长期护理保险政策规定相适应的服务管理、财务管理、信息统计、内控管理、人员管理、档案管理等制度</w:t>
            </w:r>
            <w:r>
              <w:rPr>
                <w:rFonts w:hint="eastAsia" w:ascii="仿宋_GB2312" w:hAnsi="仿宋_GB2312" w:eastAsia="仿宋_GB2312" w:cs="仿宋_GB2312"/>
                <w:b w:val="0"/>
                <w:bCs w:val="0"/>
                <w:caps w:val="0"/>
                <w:color w:val="auto"/>
                <w:sz w:val="24"/>
                <w:szCs w:val="24"/>
                <w:vertAlign w:val="baseline"/>
                <w:lang w:eastAsia="zh-CN"/>
              </w:rPr>
              <w:t>，每有一项内部管理制度在机构显著位置公示的，得0.5分，最高得</w:t>
            </w:r>
            <w:r>
              <w:rPr>
                <w:rFonts w:hint="eastAsia" w:ascii="仿宋_GB2312" w:hAnsi="仿宋_GB2312" w:eastAsia="仿宋_GB2312" w:cs="仿宋_GB2312"/>
                <w:b w:val="0"/>
                <w:bCs w:val="0"/>
                <w:caps w:val="0"/>
                <w:color w:val="auto"/>
                <w:sz w:val="24"/>
                <w:szCs w:val="24"/>
                <w:vertAlign w:val="baseline"/>
                <w:lang w:val="en-US" w:eastAsia="zh-CN"/>
              </w:rPr>
              <w:t>6</w:t>
            </w:r>
            <w:r>
              <w:rPr>
                <w:rFonts w:hint="eastAsia" w:ascii="仿宋_GB2312" w:hAnsi="仿宋_GB2312" w:eastAsia="仿宋_GB2312" w:cs="仿宋_GB2312"/>
                <w:b w:val="0"/>
                <w:bCs w:val="0"/>
                <w:caps w:val="0"/>
                <w:color w:val="auto"/>
                <w:sz w:val="24"/>
                <w:szCs w:val="24"/>
                <w:vertAlign w:val="baseline"/>
                <w:lang w:eastAsia="zh-CN"/>
              </w:rPr>
              <w:t>分；具备与长期护理保险管理相适应的应急制度、风险管理制度，有一项得</w:t>
            </w:r>
            <w:r>
              <w:rPr>
                <w:rFonts w:hint="eastAsia" w:ascii="仿宋_GB2312" w:hAnsi="仿宋_GB2312" w:eastAsia="仿宋_GB2312" w:cs="仿宋_GB2312"/>
                <w:b w:val="0"/>
                <w:bCs w:val="0"/>
                <w:caps w:val="0"/>
                <w:color w:val="auto"/>
                <w:sz w:val="24"/>
                <w:szCs w:val="24"/>
                <w:vertAlign w:val="baseline"/>
                <w:lang w:val="en-US" w:eastAsia="zh-CN"/>
              </w:rPr>
              <w:t>1</w:t>
            </w:r>
            <w:r>
              <w:rPr>
                <w:rFonts w:hint="eastAsia" w:ascii="仿宋_GB2312" w:hAnsi="仿宋_GB2312" w:eastAsia="仿宋_GB2312" w:cs="仿宋_GB2312"/>
                <w:b w:val="0"/>
                <w:bCs w:val="0"/>
                <w:caps w:val="0"/>
                <w:color w:val="auto"/>
                <w:sz w:val="24"/>
                <w:szCs w:val="24"/>
                <w:vertAlign w:val="baseline"/>
                <w:lang w:eastAsia="zh-CN"/>
              </w:rPr>
              <w:t>分，最高得</w:t>
            </w:r>
            <w:r>
              <w:rPr>
                <w:rFonts w:hint="eastAsia" w:ascii="仿宋_GB2312" w:hAnsi="仿宋_GB2312" w:eastAsia="仿宋_GB2312" w:cs="仿宋_GB2312"/>
                <w:b w:val="0"/>
                <w:bCs w:val="0"/>
                <w:caps w:val="0"/>
                <w:color w:val="auto"/>
                <w:sz w:val="24"/>
                <w:szCs w:val="24"/>
                <w:vertAlign w:val="baseline"/>
                <w:lang w:val="en-US" w:eastAsia="zh-CN"/>
              </w:rPr>
              <w:t>3</w:t>
            </w:r>
            <w:r>
              <w:rPr>
                <w:rFonts w:hint="eastAsia" w:ascii="仿宋_GB2312" w:hAnsi="仿宋_GB2312" w:eastAsia="仿宋_GB2312" w:cs="仿宋_GB2312"/>
                <w:b w:val="0"/>
                <w:bCs w:val="0"/>
                <w:caps w:val="0"/>
                <w:color w:val="auto"/>
                <w:sz w:val="24"/>
                <w:szCs w:val="24"/>
                <w:vertAlign w:val="baseline"/>
                <w:lang w:eastAsia="zh-CN"/>
              </w:rPr>
              <w:t>分。</w:t>
            </w:r>
          </w:p>
        </w:tc>
        <w:tc>
          <w:tcPr>
            <w:tcW w:w="632" w:type="pct"/>
            <w:tcBorders>
              <w:top w:val="single" w:color="000000" w:sz="6" w:space="0"/>
              <w:left w:val="single" w:color="000000" w:sz="6" w:space="0"/>
              <w:bottom w:val="single" w:color="000000" w:sz="6" w:space="0"/>
              <w:right w:val="single" w:color="000000" w:sz="6" w:space="0"/>
            </w:tcBorders>
            <w:noWrap w:val="0"/>
            <w:tcMar>
              <w:top w:w="0" w:type="dxa"/>
              <w:left w:w="60" w:type="dxa"/>
              <w:bottom w:w="0" w:type="dxa"/>
              <w:right w:w="60" w:type="dxa"/>
            </w:tcMar>
            <w:vAlign w:val="center"/>
          </w:tcPr>
          <w:p w14:paraId="2AE9FBFB">
            <w:pPr>
              <w:keepNext w:val="0"/>
              <w:keepLines w:val="0"/>
              <w:pageBreakBefore w:val="0"/>
              <w:widowControl/>
              <w:suppressLineNumbers w:val="0"/>
              <w:kinsoku/>
              <w:wordWrap/>
              <w:overflowPunct/>
              <w:topLinePunct w:val="0"/>
              <w:autoSpaceDE/>
              <w:autoSpaceDN w:val="0"/>
              <w:bidi w:val="0"/>
              <w:adjustRightInd/>
              <w:snapToGrid w:val="0"/>
              <w:spacing w:before="0" w:beforeAutospacing="0" w:after="0" w:afterAutospacing="0" w:line="400" w:lineRule="atLeast"/>
              <w:ind w:left="0" w:right="0" w:firstLine="0"/>
              <w:jc w:val="both"/>
              <w:rPr>
                <w:rFonts w:hint="eastAsia" w:ascii="仿宋_GB2312" w:hAnsi="仿宋_GB2312" w:eastAsia="仿宋_GB2312" w:cs="仿宋_GB2312"/>
                <w:b w:val="0"/>
                <w:bCs w:val="0"/>
                <w:caps w:val="0"/>
                <w:color w:val="auto"/>
                <w:sz w:val="24"/>
                <w:szCs w:val="24"/>
                <w:vertAlign w:val="baseline"/>
              </w:rPr>
            </w:pPr>
          </w:p>
        </w:tc>
      </w:tr>
      <w:tr w14:paraId="68A0FC0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965" w:hRule="atLeast"/>
        </w:trPr>
        <w:tc>
          <w:tcPr>
            <w:tcW w:w="427" w:type="pct"/>
            <w:tcBorders>
              <w:top w:val="single" w:color="000000" w:sz="6" w:space="0"/>
              <w:left w:val="single" w:color="000000" w:sz="6" w:space="0"/>
              <w:bottom w:val="single" w:color="000000" w:sz="6" w:space="0"/>
              <w:right w:val="single" w:color="000000" w:sz="6" w:space="0"/>
            </w:tcBorders>
            <w:noWrap w:val="0"/>
            <w:tcMar>
              <w:top w:w="0" w:type="dxa"/>
              <w:left w:w="60" w:type="dxa"/>
              <w:bottom w:w="0" w:type="dxa"/>
              <w:right w:w="60" w:type="dxa"/>
            </w:tcMar>
            <w:vAlign w:val="center"/>
          </w:tcPr>
          <w:p w14:paraId="5C68122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400" w:lineRule="atLeast"/>
              <w:ind w:left="0" w:right="0" w:firstLine="0"/>
              <w:jc w:val="center"/>
              <w:rPr>
                <w:rFonts w:hint="eastAsia" w:ascii="仿宋_GB2312" w:hAnsi="仿宋_GB2312" w:eastAsia="仿宋_GB2312" w:cs="仿宋_GB2312"/>
                <w:b w:val="0"/>
                <w:bCs w:val="0"/>
                <w:caps w:val="0"/>
                <w:color w:val="auto"/>
                <w:sz w:val="24"/>
                <w:szCs w:val="24"/>
                <w:vertAlign w:val="baseline"/>
                <w:lang w:val="en-US" w:eastAsia="zh-CN"/>
              </w:rPr>
            </w:pPr>
            <w:r>
              <w:rPr>
                <w:rFonts w:hint="eastAsia" w:ascii="仿宋_GB2312" w:hAnsi="仿宋_GB2312" w:eastAsia="仿宋_GB2312" w:cs="仿宋_GB2312"/>
                <w:b w:val="0"/>
                <w:bCs w:val="0"/>
                <w:caps w:val="0"/>
                <w:color w:val="auto"/>
                <w:sz w:val="24"/>
                <w:szCs w:val="24"/>
                <w:vertAlign w:val="baseline"/>
                <w:lang w:val="en-US" w:eastAsia="zh-CN"/>
              </w:rPr>
              <w:t>5</w:t>
            </w:r>
          </w:p>
        </w:tc>
        <w:tc>
          <w:tcPr>
            <w:tcW w:w="758" w:type="pct"/>
            <w:tcBorders>
              <w:top w:val="single" w:color="000000" w:sz="6" w:space="0"/>
              <w:left w:val="single" w:color="000000" w:sz="6" w:space="0"/>
              <w:bottom w:val="single" w:color="000000" w:sz="6" w:space="0"/>
              <w:right w:val="single" w:color="000000" w:sz="6" w:space="0"/>
            </w:tcBorders>
            <w:noWrap w:val="0"/>
            <w:tcMar>
              <w:top w:w="0" w:type="dxa"/>
              <w:left w:w="60" w:type="dxa"/>
              <w:bottom w:w="0" w:type="dxa"/>
              <w:right w:w="60" w:type="dxa"/>
            </w:tcMar>
            <w:vAlign w:val="center"/>
          </w:tcPr>
          <w:p w14:paraId="72E5631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40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人员配备</w:t>
            </w:r>
          </w:p>
        </w:tc>
        <w:tc>
          <w:tcPr>
            <w:tcW w:w="3182" w:type="pct"/>
            <w:tcBorders>
              <w:top w:val="single" w:color="000000" w:sz="6" w:space="0"/>
              <w:left w:val="single" w:color="000000" w:sz="6" w:space="0"/>
              <w:bottom w:val="single" w:color="000000" w:sz="6" w:space="0"/>
              <w:right w:val="single" w:color="000000" w:sz="6" w:space="0"/>
            </w:tcBorders>
            <w:noWrap w:val="0"/>
            <w:tcMar>
              <w:top w:w="0" w:type="dxa"/>
              <w:left w:w="60" w:type="dxa"/>
              <w:bottom w:w="0" w:type="dxa"/>
              <w:right w:w="60" w:type="dxa"/>
            </w:tcMar>
            <w:vAlign w:val="center"/>
          </w:tcPr>
          <w:p w14:paraId="5849928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400" w:lineRule="atLeast"/>
              <w:ind w:left="0" w:right="0" w:firstLine="0"/>
              <w:jc w:val="both"/>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配备持有效护理员证书的专业护理服务人员在10人（含）以上，每增加1人，加</w:t>
            </w:r>
            <w:r>
              <w:rPr>
                <w:rFonts w:hint="eastAsia" w:ascii="仿宋_GB2312" w:hAnsi="仿宋_GB2312" w:eastAsia="仿宋_GB2312" w:cs="仿宋_GB2312"/>
                <w:b w:val="0"/>
                <w:bCs w:val="0"/>
                <w:caps w:val="0"/>
                <w:color w:val="auto"/>
                <w:sz w:val="24"/>
                <w:szCs w:val="24"/>
                <w:vertAlign w:val="baseline"/>
                <w:lang w:val="en-US" w:eastAsia="zh-CN"/>
              </w:rPr>
              <w:t>1</w:t>
            </w:r>
            <w:r>
              <w:rPr>
                <w:rFonts w:hint="eastAsia" w:ascii="仿宋_GB2312" w:hAnsi="仿宋_GB2312" w:eastAsia="仿宋_GB2312" w:cs="仿宋_GB2312"/>
                <w:b w:val="0"/>
                <w:bCs w:val="0"/>
                <w:caps w:val="0"/>
                <w:color w:val="auto"/>
                <w:sz w:val="24"/>
                <w:szCs w:val="24"/>
                <w:vertAlign w:val="baseline"/>
              </w:rPr>
              <w:t>分，最高得</w:t>
            </w:r>
            <w:r>
              <w:rPr>
                <w:rFonts w:hint="eastAsia" w:ascii="仿宋_GB2312" w:hAnsi="仿宋_GB2312" w:eastAsia="仿宋_GB2312" w:cs="仿宋_GB2312"/>
                <w:b w:val="0"/>
                <w:bCs w:val="0"/>
                <w:caps w:val="0"/>
                <w:color w:val="auto"/>
                <w:sz w:val="24"/>
                <w:szCs w:val="24"/>
                <w:vertAlign w:val="baseline"/>
                <w:lang w:val="en-US" w:eastAsia="zh-CN"/>
              </w:rPr>
              <w:t>5</w:t>
            </w:r>
            <w:r>
              <w:rPr>
                <w:rFonts w:hint="eastAsia" w:ascii="仿宋_GB2312" w:hAnsi="仿宋_GB2312" w:eastAsia="仿宋_GB2312" w:cs="仿宋_GB2312"/>
                <w:b w:val="0"/>
                <w:bCs w:val="0"/>
                <w:caps w:val="0"/>
                <w:color w:val="auto"/>
                <w:sz w:val="24"/>
                <w:szCs w:val="24"/>
                <w:vertAlign w:val="baseline"/>
              </w:rPr>
              <w:t>分；其中在本单位参加社会保险的劳动年龄段护理服务人员在3人以上，每增加1人得</w:t>
            </w:r>
            <w:r>
              <w:rPr>
                <w:rFonts w:hint="eastAsia" w:ascii="仿宋_GB2312" w:hAnsi="仿宋_GB2312" w:eastAsia="仿宋_GB2312" w:cs="仿宋_GB2312"/>
                <w:b w:val="0"/>
                <w:bCs w:val="0"/>
                <w:caps w:val="0"/>
                <w:color w:val="auto"/>
                <w:sz w:val="24"/>
                <w:szCs w:val="24"/>
                <w:vertAlign w:val="baseline"/>
                <w:lang w:val="en-US" w:eastAsia="zh-CN"/>
              </w:rPr>
              <w:t>1</w:t>
            </w:r>
            <w:r>
              <w:rPr>
                <w:rFonts w:hint="eastAsia" w:ascii="仿宋_GB2312" w:hAnsi="仿宋_GB2312" w:eastAsia="仿宋_GB2312" w:cs="仿宋_GB2312"/>
                <w:b w:val="0"/>
                <w:bCs w:val="0"/>
                <w:caps w:val="0"/>
                <w:color w:val="auto"/>
                <w:sz w:val="24"/>
                <w:szCs w:val="24"/>
                <w:vertAlign w:val="baseline"/>
              </w:rPr>
              <w:t>分，最高得8分。自主聘用有执业资格的医护专业人员</w:t>
            </w:r>
            <w:r>
              <w:rPr>
                <w:rFonts w:hint="eastAsia" w:ascii="仿宋_GB2312" w:hAnsi="仿宋_GB2312" w:eastAsia="仿宋_GB2312" w:cs="仿宋_GB2312"/>
                <w:b w:val="0"/>
                <w:bCs w:val="0"/>
                <w:caps w:val="0"/>
                <w:color w:val="auto"/>
                <w:sz w:val="24"/>
                <w:szCs w:val="24"/>
                <w:vertAlign w:val="baseline"/>
                <w:lang w:val="en-US" w:eastAsia="zh-CN"/>
              </w:rPr>
              <w:t>不少于1人，具备医疗资质的申请机构，</w:t>
            </w:r>
            <w:r>
              <w:rPr>
                <w:rFonts w:hint="eastAsia" w:ascii="仿宋_GB2312" w:hAnsi="仿宋_GB2312" w:eastAsia="仿宋_GB2312" w:cs="仿宋_GB2312"/>
                <w:caps w:val="0"/>
                <w:color w:val="auto"/>
                <w:sz w:val="24"/>
                <w:szCs w:val="24"/>
                <w:vertAlign w:val="baseline"/>
              </w:rPr>
              <w:t>执业医师和护士</w:t>
            </w:r>
            <w:r>
              <w:rPr>
                <w:rFonts w:hint="eastAsia" w:ascii="仿宋_GB2312" w:hAnsi="仿宋_GB2312" w:eastAsia="仿宋_GB2312" w:cs="仿宋_GB2312"/>
                <w:caps w:val="0"/>
                <w:color w:val="auto"/>
                <w:sz w:val="24"/>
                <w:szCs w:val="24"/>
                <w:vertAlign w:val="baseline"/>
                <w:lang w:val="en-US" w:eastAsia="zh-CN"/>
              </w:rPr>
              <w:t>各不少于1人</w:t>
            </w:r>
            <w:r>
              <w:rPr>
                <w:rFonts w:hint="eastAsia" w:ascii="仿宋_GB2312" w:hAnsi="仿宋_GB2312" w:eastAsia="仿宋_GB2312" w:cs="仿宋_GB2312"/>
                <w:b w:val="0"/>
                <w:bCs w:val="0"/>
                <w:caps w:val="0"/>
                <w:color w:val="auto"/>
                <w:sz w:val="24"/>
                <w:szCs w:val="24"/>
                <w:vertAlign w:val="baseline"/>
                <w:lang w:val="en-US" w:eastAsia="zh-CN"/>
              </w:rPr>
              <w:t>，得3分。</w:t>
            </w:r>
          </w:p>
        </w:tc>
        <w:tc>
          <w:tcPr>
            <w:tcW w:w="632" w:type="pct"/>
            <w:tcBorders>
              <w:top w:val="single" w:color="000000" w:sz="6" w:space="0"/>
              <w:left w:val="single" w:color="000000" w:sz="6" w:space="0"/>
              <w:bottom w:val="single" w:color="000000" w:sz="6" w:space="0"/>
              <w:right w:val="single" w:color="000000" w:sz="6" w:space="0"/>
            </w:tcBorders>
            <w:noWrap w:val="0"/>
            <w:tcMar>
              <w:top w:w="0" w:type="dxa"/>
              <w:left w:w="60" w:type="dxa"/>
              <w:bottom w:w="0" w:type="dxa"/>
              <w:right w:w="60" w:type="dxa"/>
            </w:tcMar>
            <w:vAlign w:val="center"/>
          </w:tcPr>
          <w:p w14:paraId="0C9099A6">
            <w:pPr>
              <w:keepNext w:val="0"/>
              <w:keepLines w:val="0"/>
              <w:pageBreakBefore w:val="0"/>
              <w:widowControl/>
              <w:suppressLineNumbers w:val="0"/>
              <w:kinsoku/>
              <w:wordWrap/>
              <w:overflowPunct/>
              <w:topLinePunct w:val="0"/>
              <w:autoSpaceDE/>
              <w:autoSpaceDN w:val="0"/>
              <w:bidi w:val="0"/>
              <w:adjustRightInd/>
              <w:snapToGrid w:val="0"/>
              <w:spacing w:before="0" w:beforeAutospacing="0" w:after="0" w:afterAutospacing="0" w:line="400" w:lineRule="atLeast"/>
              <w:ind w:left="0" w:right="0" w:firstLine="0"/>
              <w:jc w:val="both"/>
              <w:rPr>
                <w:rFonts w:hint="eastAsia" w:ascii="仿宋_GB2312" w:hAnsi="仿宋_GB2312" w:eastAsia="仿宋_GB2312" w:cs="仿宋_GB2312"/>
                <w:b w:val="0"/>
                <w:bCs w:val="0"/>
                <w:caps w:val="0"/>
                <w:color w:val="auto"/>
                <w:sz w:val="24"/>
                <w:szCs w:val="24"/>
                <w:vertAlign w:val="baseline"/>
              </w:rPr>
            </w:pPr>
          </w:p>
        </w:tc>
      </w:tr>
      <w:tr w14:paraId="6350ADF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740" w:hRule="atLeast"/>
        </w:trPr>
        <w:tc>
          <w:tcPr>
            <w:tcW w:w="427" w:type="pct"/>
            <w:tcBorders>
              <w:top w:val="single" w:color="000000" w:sz="6" w:space="0"/>
              <w:left w:val="single" w:color="auto" w:sz="6" w:space="0"/>
              <w:bottom w:val="single" w:color="auto" w:sz="6" w:space="0"/>
              <w:right w:val="single" w:color="auto" w:sz="6" w:space="0"/>
            </w:tcBorders>
            <w:noWrap w:val="0"/>
            <w:tcMar>
              <w:top w:w="0" w:type="dxa"/>
              <w:left w:w="60" w:type="dxa"/>
              <w:bottom w:w="0" w:type="dxa"/>
              <w:right w:w="60" w:type="dxa"/>
            </w:tcMar>
            <w:vAlign w:val="center"/>
          </w:tcPr>
          <w:p w14:paraId="0D948A6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400" w:lineRule="atLeast"/>
              <w:ind w:left="0" w:right="0" w:firstLine="0"/>
              <w:jc w:val="center"/>
              <w:rPr>
                <w:rFonts w:hint="eastAsia" w:ascii="仿宋_GB2312" w:hAnsi="仿宋_GB2312" w:eastAsia="仿宋_GB2312" w:cs="仿宋_GB2312"/>
                <w:b w:val="0"/>
                <w:bCs w:val="0"/>
                <w:caps w:val="0"/>
                <w:color w:val="auto"/>
                <w:sz w:val="24"/>
                <w:szCs w:val="24"/>
                <w:vertAlign w:val="baseline"/>
                <w:lang w:val="en-US" w:eastAsia="zh-CN"/>
              </w:rPr>
            </w:pPr>
            <w:r>
              <w:rPr>
                <w:rFonts w:hint="eastAsia" w:ascii="仿宋_GB2312" w:hAnsi="仿宋_GB2312" w:eastAsia="仿宋_GB2312" w:cs="仿宋_GB2312"/>
                <w:b w:val="0"/>
                <w:bCs w:val="0"/>
                <w:caps w:val="0"/>
                <w:color w:val="auto"/>
                <w:sz w:val="24"/>
                <w:szCs w:val="24"/>
                <w:vertAlign w:val="baseline"/>
                <w:lang w:val="en-US" w:eastAsia="zh-CN"/>
              </w:rPr>
              <w:t>6</w:t>
            </w:r>
          </w:p>
        </w:tc>
        <w:tc>
          <w:tcPr>
            <w:tcW w:w="758" w:type="pct"/>
            <w:tcBorders>
              <w:top w:val="single" w:color="000000" w:sz="6" w:space="0"/>
              <w:left w:val="nil"/>
              <w:bottom w:val="single" w:color="auto" w:sz="6" w:space="0"/>
              <w:right w:val="single" w:color="auto" w:sz="6" w:space="0"/>
            </w:tcBorders>
            <w:noWrap w:val="0"/>
            <w:tcMar>
              <w:top w:w="0" w:type="dxa"/>
              <w:left w:w="60" w:type="dxa"/>
              <w:bottom w:w="0" w:type="dxa"/>
              <w:right w:w="60" w:type="dxa"/>
            </w:tcMar>
            <w:vAlign w:val="center"/>
          </w:tcPr>
          <w:p w14:paraId="748B207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40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信息配置</w:t>
            </w:r>
          </w:p>
        </w:tc>
        <w:tc>
          <w:tcPr>
            <w:tcW w:w="3182" w:type="pct"/>
            <w:tcBorders>
              <w:top w:val="single" w:color="000000" w:sz="6" w:space="0"/>
              <w:left w:val="nil"/>
              <w:bottom w:val="single" w:color="auto" w:sz="6" w:space="0"/>
              <w:right w:val="single" w:color="auto" w:sz="6" w:space="0"/>
            </w:tcBorders>
            <w:noWrap w:val="0"/>
            <w:tcMar>
              <w:top w:w="0" w:type="dxa"/>
              <w:left w:w="60" w:type="dxa"/>
              <w:bottom w:w="0" w:type="dxa"/>
              <w:right w:w="60" w:type="dxa"/>
            </w:tcMar>
            <w:vAlign w:val="center"/>
          </w:tcPr>
          <w:p w14:paraId="33C92AF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400" w:lineRule="atLeast"/>
              <w:ind w:left="0" w:right="0" w:firstLine="0"/>
              <w:jc w:val="both"/>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拥有护理服务信息系统（含APP）得5分；能够提供护理服务过程信息监控措施，每有1项，得1分，最多不超过</w:t>
            </w:r>
            <w:r>
              <w:rPr>
                <w:rFonts w:hint="eastAsia" w:ascii="仿宋_GB2312" w:hAnsi="仿宋_GB2312" w:eastAsia="仿宋_GB2312" w:cs="仿宋_GB2312"/>
                <w:b w:val="0"/>
                <w:bCs w:val="0"/>
                <w:caps w:val="0"/>
                <w:color w:val="auto"/>
                <w:sz w:val="24"/>
                <w:szCs w:val="24"/>
                <w:vertAlign w:val="baseline"/>
                <w:lang w:val="en-US" w:eastAsia="zh-CN"/>
              </w:rPr>
              <w:t>5</w:t>
            </w:r>
            <w:r>
              <w:rPr>
                <w:rFonts w:hint="eastAsia" w:ascii="仿宋_GB2312" w:hAnsi="仿宋_GB2312" w:eastAsia="仿宋_GB2312" w:cs="仿宋_GB2312"/>
                <w:b w:val="0"/>
                <w:bCs w:val="0"/>
                <w:caps w:val="0"/>
                <w:color w:val="auto"/>
                <w:sz w:val="24"/>
                <w:szCs w:val="24"/>
                <w:vertAlign w:val="baseline"/>
              </w:rPr>
              <w:t>分；能够提供承诺在规定时间内完成内网专网部署的得2分。</w:t>
            </w:r>
          </w:p>
        </w:tc>
        <w:tc>
          <w:tcPr>
            <w:tcW w:w="632" w:type="pct"/>
            <w:tcBorders>
              <w:top w:val="single" w:color="000000" w:sz="6" w:space="0"/>
              <w:left w:val="nil"/>
              <w:bottom w:val="single" w:color="auto" w:sz="6" w:space="0"/>
              <w:right w:val="single" w:color="auto" w:sz="6" w:space="0"/>
            </w:tcBorders>
            <w:noWrap w:val="0"/>
            <w:tcMar>
              <w:top w:w="0" w:type="dxa"/>
              <w:left w:w="60" w:type="dxa"/>
              <w:bottom w:w="0" w:type="dxa"/>
              <w:right w:w="60" w:type="dxa"/>
            </w:tcMar>
            <w:vAlign w:val="center"/>
          </w:tcPr>
          <w:p w14:paraId="7F39D2CF">
            <w:pPr>
              <w:keepNext w:val="0"/>
              <w:keepLines w:val="0"/>
              <w:pageBreakBefore w:val="0"/>
              <w:widowControl/>
              <w:suppressLineNumbers w:val="0"/>
              <w:kinsoku/>
              <w:wordWrap/>
              <w:overflowPunct/>
              <w:topLinePunct w:val="0"/>
              <w:autoSpaceDE/>
              <w:autoSpaceDN w:val="0"/>
              <w:bidi w:val="0"/>
              <w:adjustRightInd/>
              <w:snapToGrid w:val="0"/>
              <w:spacing w:before="0" w:beforeAutospacing="0" w:after="0" w:afterAutospacing="0" w:line="400" w:lineRule="atLeast"/>
              <w:ind w:left="0" w:right="0" w:firstLine="0"/>
              <w:jc w:val="both"/>
              <w:rPr>
                <w:rFonts w:hint="eastAsia" w:ascii="仿宋_GB2312" w:hAnsi="仿宋_GB2312" w:eastAsia="仿宋_GB2312" w:cs="仿宋_GB2312"/>
                <w:b w:val="0"/>
                <w:bCs w:val="0"/>
                <w:caps w:val="0"/>
                <w:color w:val="auto"/>
                <w:sz w:val="24"/>
                <w:szCs w:val="24"/>
                <w:vertAlign w:val="baseline"/>
              </w:rPr>
            </w:pPr>
          </w:p>
        </w:tc>
      </w:tr>
      <w:tr w14:paraId="26FC396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75" w:hRule="atLeast"/>
        </w:trPr>
        <w:tc>
          <w:tcPr>
            <w:tcW w:w="427" w:type="pct"/>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14:paraId="56C8E4D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400" w:lineRule="atLeast"/>
              <w:ind w:left="0" w:right="0" w:firstLine="0"/>
              <w:jc w:val="center"/>
              <w:rPr>
                <w:rFonts w:hint="default" w:ascii="仿宋_GB2312" w:hAnsi="仿宋_GB2312" w:eastAsia="仿宋_GB2312" w:cs="仿宋_GB2312"/>
                <w:b w:val="0"/>
                <w:bCs w:val="0"/>
                <w:caps w:val="0"/>
                <w:color w:val="auto"/>
                <w:sz w:val="24"/>
                <w:szCs w:val="24"/>
                <w:vertAlign w:val="baseline"/>
                <w:lang w:val="en-US" w:eastAsia="zh-CN"/>
              </w:rPr>
            </w:pPr>
            <w:r>
              <w:rPr>
                <w:rFonts w:hint="eastAsia" w:ascii="仿宋_GB2312" w:hAnsi="仿宋_GB2312" w:eastAsia="仿宋_GB2312" w:cs="仿宋_GB2312"/>
                <w:b w:val="0"/>
                <w:bCs w:val="0"/>
                <w:caps w:val="0"/>
                <w:color w:val="auto"/>
                <w:sz w:val="24"/>
                <w:szCs w:val="24"/>
                <w:vertAlign w:val="baseline"/>
                <w:lang w:val="en-US" w:eastAsia="zh-CN"/>
              </w:rPr>
              <w:t>7</w:t>
            </w:r>
          </w:p>
        </w:tc>
        <w:tc>
          <w:tcPr>
            <w:tcW w:w="758" w:type="pct"/>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03A35B6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40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档案管理</w:t>
            </w:r>
          </w:p>
        </w:tc>
        <w:tc>
          <w:tcPr>
            <w:tcW w:w="3182" w:type="pct"/>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30190BA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400" w:lineRule="atLeast"/>
              <w:ind w:left="0" w:right="0" w:firstLine="0"/>
              <w:jc w:val="both"/>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建立失能人员一人一档的，得</w:t>
            </w:r>
            <w:r>
              <w:rPr>
                <w:rFonts w:hint="eastAsia" w:ascii="仿宋_GB2312" w:hAnsi="仿宋_GB2312" w:eastAsia="仿宋_GB2312" w:cs="仿宋_GB2312"/>
                <w:b w:val="0"/>
                <w:bCs w:val="0"/>
                <w:caps w:val="0"/>
                <w:color w:val="auto"/>
                <w:sz w:val="24"/>
                <w:szCs w:val="24"/>
                <w:vertAlign w:val="baseline"/>
                <w:lang w:val="en-US" w:eastAsia="zh-CN"/>
              </w:rPr>
              <w:t>5</w:t>
            </w:r>
            <w:r>
              <w:rPr>
                <w:rFonts w:hint="eastAsia" w:ascii="仿宋_GB2312" w:hAnsi="仿宋_GB2312" w:eastAsia="仿宋_GB2312" w:cs="仿宋_GB2312"/>
                <w:b w:val="0"/>
                <w:bCs w:val="0"/>
                <w:caps w:val="0"/>
                <w:color w:val="auto"/>
                <w:sz w:val="24"/>
                <w:szCs w:val="24"/>
                <w:vertAlign w:val="baseline"/>
              </w:rPr>
              <w:t>分；实行电子化档案管理的，得</w:t>
            </w:r>
            <w:r>
              <w:rPr>
                <w:rFonts w:hint="eastAsia" w:ascii="仿宋_GB2312" w:hAnsi="仿宋_GB2312" w:eastAsia="仿宋_GB2312" w:cs="仿宋_GB2312"/>
                <w:b w:val="0"/>
                <w:bCs w:val="0"/>
                <w:caps w:val="0"/>
                <w:color w:val="auto"/>
                <w:sz w:val="24"/>
                <w:szCs w:val="24"/>
                <w:vertAlign w:val="baseline"/>
                <w:lang w:val="en-US" w:eastAsia="zh-CN"/>
              </w:rPr>
              <w:t>6</w:t>
            </w:r>
            <w:r>
              <w:rPr>
                <w:rFonts w:hint="eastAsia" w:ascii="仿宋_GB2312" w:hAnsi="仿宋_GB2312" w:eastAsia="仿宋_GB2312" w:cs="仿宋_GB2312"/>
                <w:b w:val="0"/>
                <w:bCs w:val="0"/>
                <w:caps w:val="0"/>
                <w:color w:val="auto"/>
                <w:sz w:val="24"/>
                <w:szCs w:val="24"/>
                <w:vertAlign w:val="baseline"/>
              </w:rPr>
              <w:t>分。</w:t>
            </w:r>
          </w:p>
        </w:tc>
        <w:tc>
          <w:tcPr>
            <w:tcW w:w="632" w:type="pct"/>
            <w:tcBorders>
              <w:top w:val="single" w:color="auto" w:sz="6" w:space="0"/>
              <w:left w:val="nil"/>
              <w:bottom w:val="single" w:color="auto" w:sz="6" w:space="0"/>
              <w:right w:val="single" w:color="auto" w:sz="6" w:space="0"/>
            </w:tcBorders>
            <w:noWrap w:val="0"/>
            <w:tcMar>
              <w:top w:w="0" w:type="dxa"/>
              <w:left w:w="60" w:type="dxa"/>
              <w:bottom w:w="0" w:type="dxa"/>
              <w:right w:w="60" w:type="dxa"/>
            </w:tcMar>
            <w:vAlign w:val="center"/>
          </w:tcPr>
          <w:p w14:paraId="6D58CA82">
            <w:pPr>
              <w:keepNext w:val="0"/>
              <w:keepLines w:val="0"/>
              <w:pageBreakBefore w:val="0"/>
              <w:widowControl/>
              <w:suppressLineNumbers w:val="0"/>
              <w:kinsoku/>
              <w:wordWrap/>
              <w:overflowPunct/>
              <w:topLinePunct w:val="0"/>
              <w:autoSpaceDE/>
              <w:autoSpaceDN w:val="0"/>
              <w:bidi w:val="0"/>
              <w:adjustRightInd/>
              <w:snapToGrid w:val="0"/>
              <w:spacing w:before="0" w:beforeAutospacing="0" w:after="0" w:afterAutospacing="0" w:line="400" w:lineRule="atLeast"/>
              <w:ind w:left="0" w:right="0" w:firstLine="0"/>
              <w:jc w:val="both"/>
              <w:rPr>
                <w:rFonts w:hint="eastAsia" w:ascii="仿宋_GB2312" w:hAnsi="仿宋_GB2312" w:eastAsia="仿宋_GB2312" w:cs="仿宋_GB2312"/>
                <w:b w:val="0"/>
                <w:bCs w:val="0"/>
                <w:caps w:val="0"/>
                <w:color w:val="auto"/>
                <w:sz w:val="24"/>
                <w:szCs w:val="24"/>
                <w:vertAlign w:val="baseline"/>
              </w:rPr>
            </w:pPr>
          </w:p>
        </w:tc>
      </w:tr>
      <w:tr w14:paraId="14DE2BE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260" w:hRule="atLeast"/>
        </w:trPr>
        <w:tc>
          <w:tcPr>
            <w:tcW w:w="427" w:type="pct"/>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14:paraId="2EA4234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400" w:lineRule="atLeast"/>
              <w:ind w:left="0" w:right="0" w:firstLine="0"/>
              <w:jc w:val="center"/>
              <w:rPr>
                <w:rFonts w:hint="default" w:ascii="仿宋_GB2312" w:hAnsi="仿宋_GB2312" w:eastAsia="仿宋_GB2312" w:cs="仿宋_GB2312"/>
                <w:b w:val="0"/>
                <w:bCs w:val="0"/>
                <w:caps w:val="0"/>
                <w:color w:val="auto"/>
                <w:sz w:val="24"/>
                <w:szCs w:val="24"/>
                <w:vertAlign w:val="baseline"/>
                <w:lang w:val="en-US" w:eastAsia="zh-CN"/>
              </w:rPr>
            </w:pPr>
            <w:r>
              <w:rPr>
                <w:rFonts w:hint="eastAsia" w:ascii="仿宋_GB2312" w:hAnsi="仿宋_GB2312" w:eastAsia="仿宋_GB2312" w:cs="仿宋_GB2312"/>
                <w:b w:val="0"/>
                <w:bCs w:val="0"/>
                <w:caps w:val="0"/>
                <w:color w:val="auto"/>
                <w:sz w:val="24"/>
                <w:szCs w:val="24"/>
                <w:vertAlign w:val="baseline"/>
                <w:lang w:val="en-US" w:eastAsia="zh-CN"/>
              </w:rPr>
              <w:t>8</w:t>
            </w:r>
          </w:p>
        </w:tc>
        <w:tc>
          <w:tcPr>
            <w:tcW w:w="758" w:type="pct"/>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6ABE59C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40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服务质量</w:t>
            </w:r>
          </w:p>
        </w:tc>
        <w:tc>
          <w:tcPr>
            <w:tcW w:w="3182" w:type="pct"/>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7E734F7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400" w:lineRule="atLeast"/>
              <w:ind w:left="0" w:right="0" w:firstLine="0"/>
              <w:jc w:val="both"/>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按照长护险服务要求，建立护理服务质量监督管理机制，全面科学、可操作性强的，得3分。</w:t>
            </w:r>
          </w:p>
        </w:tc>
        <w:tc>
          <w:tcPr>
            <w:tcW w:w="632" w:type="pct"/>
            <w:tcBorders>
              <w:top w:val="single" w:color="auto" w:sz="6" w:space="0"/>
              <w:left w:val="nil"/>
              <w:bottom w:val="single" w:color="auto" w:sz="6" w:space="0"/>
              <w:right w:val="single" w:color="auto" w:sz="6" w:space="0"/>
            </w:tcBorders>
            <w:noWrap w:val="0"/>
            <w:tcMar>
              <w:top w:w="0" w:type="dxa"/>
              <w:left w:w="60" w:type="dxa"/>
              <w:bottom w:w="0" w:type="dxa"/>
              <w:right w:w="60" w:type="dxa"/>
            </w:tcMar>
            <w:vAlign w:val="center"/>
          </w:tcPr>
          <w:p w14:paraId="5B254A87">
            <w:pPr>
              <w:keepNext w:val="0"/>
              <w:keepLines w:val="0"/>
              <w:pageBreakBefore w:val="0"/>
              <w:widowControl/>
              <w:suppressLineNumbers w:val="0"/>
              <w:kinsoku/>
              <w:wordWrap/>
              <w:overflowPunct/>
              <w:topLinePunct w:val="0"/>
              <w:autoSpaceDE/>
              <w:autoSpaceDN w:val="0"/>
              <w:bidi w:val="0"/>
              <w:adjustRightInd/>
              <w:snapToGrid w:val="0"/>
              <w:spacing w:before="0" w:beforeAutospacing="0" w:after="0" w:afterAutospacing="0" w:line="400" w:lineRule="atLeast"/>
              <w:ind w:left="0" w:right="0" w:firstLine="0"/>
              <w:jc w:val="both"/>
              <w:rPr>
                <w:rFonts w:hint="eastAsia" w:ascii="仿宋_GB2312" w:hAnsi="仿宋_GB2312" w:eastAsia="仿宋_GB2312" w:cs="仿宋_GB2312"/>
                <w:b w:val="0"/>
                <w:bCs w:val="0"/>
                <w:caps w:val="0"/>
                <w:color w:val="auto"/>
                <w:sz w:val="24"/>
                <w:szCs w:val="24"/>
                <w:vertAlign w:val="baseline"/>
              </w:rPr>
            </w:pPr>
          </w:p>
        </w:tc>
      </w:tr>
      <w:tr w14:paraId="0248946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trHeight w:val="1110" w:hRule="atLeast"/>
        </w:trPr>
        <w:tc>
          <w:tcPr>
            <w:tcW w:w="427" w:type="pct"/>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14:paraId="1A37C16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400" w:lineRule="atLeast"/>
              <w:ind w:left="0" w:right="0" w:firstLine="0"/>
              <w:jc w:val="center"/>
              <w:rPr>
                <w:rFonts w:hint="default" w:ascii="仿宋_GB2312" w:hAnsi="仿宋_GB2312" w:eastAsia="仿宋_GB2312" w:cs="仿宋_GB2312"/>
                <w:b w:val="0"/>
                <w:bCs w:val="0"/>
                <w:caps w:val="0"/>
                <w:color w:val="auto"/>
                <w:sz w:val="24"/>
                <w:szCs w:val="24"/>
                <w:vertAlign w:val="baseline"/>
                <w:lang w:val="en-US" w:eastAsia="zh-CN"/>
              </w:rPr>
            </w:pPr>
            <w:r>
              <w:rPr>
                <w:rFonts w:hint="eastAsia" w:ascii="仿宋_GB2312" w:hAnsi="仿宋_GB2312" w:eastAsia="仿宋_GB2312" w:cs="仿宋_GB2312"/>
                <w:b w:val="0"/>
                <w:bCs w:val="0"/>
                <w:caps w:val="0"/>
                <w:color w:val="auto"/>
                <w:sz w:val="24"/>
                <w:szCs w:val="24"/>
                <w:vertAlign w:val="baseline"/>
                <w:lang w:val="en-US" w:eastAsia="zh-CN"/>
              </w:rPr>
              <w:t>9</w:t>
            </w:r>
          </w:p>
        </w:tc>
        <w:tc>
          <w:tcPr>
            <w:tcW w:w="758" w:type="pct"/>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14C5508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40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风险防范</w:t>
            </w:r>
          </w:p>
        </w:tc>
        <w:tc>
          <w:tcPr>
            <w:tcW w:w="3182" w:type="pct"/>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61C9098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400" w:lineRule="atLeast"/>
              <w:ind w:left="0" w:right="0" w:firstLine="0"/>
              <w:jc w:val="both"/>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建立有效风险防范制度或购买相关保险，有效防范因护理不当造成参保人员人身伤害风险的，得5分。</w:t>
            </w:r>
            <w:r>
              <w:rPr>
                <w:rFonts w:hint="eastAsia" w:ascii="仿宋_GB2312" w:hAnsi="仿宋_GB2312" w:eastAsia="仿宋_GB2312" w:cs="仿宋_GB2312"/>
                <w:b w:val="0"/>
                <w:bCs w:val="0"/>
                <w:caps w:val="0"/>
                <w:color w:val="auto"/>
                <w:sz w:val="24"/>
                <w:szCs w:val="24"/>
                <w:vertAlign w:val="baseline"/>
                <w:lang w:val="en-US" w:eastAsia="zh-CN"/>
              </w:rPr>
              <w:t>同时为护理员购买相关保险的，</w:t>
            </w:r>
            <w:r>
              <w:rPr>
                <w:rFonts w:hint="eastAsia" w:ascii="仿宋_GB2312" w:hAnsi="仿宋_GB2312" w:eastAsia="仿宋_GB2312" w:cs="仿宋_GB2312"/>
                <w:b w:val="0"/>
                <w:bCs w:val="0"/>
                <w:caps w:val="0"/>
                <w:color w:val="auto"/>
                <w:sz w:val="24"/>
                <w:szCs w:val="24"/>
                <w:vertAlign w:val="baseline"/>
              </w:rPr>
              <w:t>得2分。</w:t>
            </w:r>
          </w:p>
        </w:tc>
        <w:tc>
          <w:tcPr>
            <w:tcW w:w="632" w:type="pct"/>
            <w:tcBorders>
              <w:top w:val="single" w:color="auto" w:sz="6" w:space="0"/>
              <w:left w:val="nil"/>
              <w:bottom w:val="single" w:color="auto" w:sz="6" w:space="0"/>
              <w:right w:val="single" w:color="auto" w:sz="6" w:space="0"/>
            </w:tcBorders>
            <w:noWrap w:val="0"/>
            <w:tcMar>
              <w:top w:w="0" w:type="dxa"/>
              <w:left w:w="60" w:type="dxa"/>
              <w:bottom w:w="0" w:type="dxa"/>
              <w:right w:w="60" w:type="dxa"/>
            </w:tcMar>
            <w:vAlign w:val="center"/>
          </w:tcPr>
          <w:p w14:paraId="635BBED8">
            <w:pPr>
              <w:keepNext w:val="0"/>
              <w:keepLines w:val="0"/>
              <w:pageBreakBefore w:val="0"/>
              <w:widowControl/>
              <w:suppressLineNumbers w:val="0"/>
              <w:kinsoku/>
              <w:wordWrap/>
              <w:overflowPunct/>
              <w:topLinePunct w:val="0"/>
              <w:autoSpaceDE/>
              <w:autoSpaceDN w:val="0"/>
              <w:bidi w:val="0"/>
              <w:adjustRightInd/>
              <w:snapToGrid w:val="0"/>
              <w:spacing w:before="0" w:beforeAutospacing="0" w:after="0" w:afterAutospacing="0" w:line="400" w:lineRule="atLeast"/>
              <w:ind w:left="0" w:right="0" w:firstLine="0"/>
              <w:jc w:val="both"/>
              <w:rPr>
                <w:rFonts w:hint="eastAsia" w:ascii="仿宋_GB2312" w:hAnsi="仿宋_GB2312" w:eastAsia="仿宋_GB2312" w:cs="仿宋_GB2312"/>
                <w:b w:val="0"/>
                <w:bCs w:val="0"/>
                <w:caps w:val="0"/>
                <w:color w:val="auto"/>
                <w:sz w:val="24"/>
                <w:szCs w:val="24"/>
                <w:vertAlign w:val="baseline"/>
              </w:rPr>
            </w:pPr>
          </w:p>
        </w:tc>
      </w:tr>
      <w:tr w14:paraId="0176081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95" w:hRule="atLeast"/>
        </w:trPr>
        <w:tc>
          <w:tcPr>
            <w:tcW w:w="4367" w:type="pct"/>
            <w:gridSpan w:val="3"/>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14:paraId="1CD42B8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40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审核得分</w:t>
            </w:r>
          </w:p>
        </w:tc>
        <w:tc>
          <w:tcPr>
            <w:tcW w:w="632" w:type="pct"/>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051400E5">
            <w:pPr>
              <w:keepNext w:val="0"/>
              <w:keepLines w:val="0"/>
              <w:pageBreakBefore w:val="0"/>
              <w:widowControl/>
              <w:suppressLineNumbers w:val="0"/>
              <w:kinsoku/>
              <w:wordWrap/>
              <w:overflowPunct/>
              <w:topLinePunct w:val="0"/>
              <w:autoSpaceDE/>
              <w:autoSpaceDN w:val="0"/>
              <w:bidi w:val="0"/>
              <w:adjustRightInd/>
              <w:snapToGrid w:val="0"/>
              <w:spacing w:before="0" w:beforeAutospacing="0" w:after="0" w:afterAutospacing="0" w:line="40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p>
        </w:tc>
      </w:tr>
      <w:tr w14:paraId="2964894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09" w:hRule="atLeast"/>
        </w:trPr>
        <w:tc>
          <w:tcPr>
            <w:tcW w:w="5000" w:type="pct"/>
            <w:gridSpan w:val="4"/>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14:paraId="11A1FF8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40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以上为差异化指标，根据得分择优确定。</w:t>
            </w:r>
          </w:p>
        </w:tc>
      </w:tr>
      <w:tr w14:paraId="704B533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028" w:hRule="atLeast"/>
        </w:trPr>
        <w:tc>
          <w:tcPr>
            <w:tcW w:w="5000" w:type="pct"/>
            <w:gridSpan w:val="4"/>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14:paraId="6D18D25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400" w:lineRule="atLeast"/>
              <w:ind w:left="0" w:right="0" w:firstLine="480" w:firstLineChars="200"/>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审核意见：</w:t>
            </w:r>
          </w:p>
          <w:p w14:paraId="73ECB37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40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p>
          <w:p w14:paraId="28CE162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40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审核人：                    年  月  日</w:t>
            </w:r>
          </w:p>
          <w:p w14:paraId="4B60606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40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p>
        </w:tc>
      </w:tr>
    </w:tbl>
    <w:p w14:paraId="31C5ED36">
      <w:pPr>
        <w:spacing w:line="300" w:lineRule="exact"/>
        <w:ind w:firstLine="0" w:firstLineChars="0"/>
        <w:rPr>
          <w:rFonts w:ascii="方正仿宋_GBK" w:hAnsi="华文仿宋" w:eastAsia="方正仿宋_GBK"/>
          <w:sz w:val="32"/>
          <w:szCs w:val="32"/>
        </w:rPr>
      </w:pPr>
    </w:p>
    <w:p w14:paraId="58E58C34">
      <w:pPr>
        <w:snapToGrid w:val="0"/>
        <w:spacing w:line="580" w:lineRule="atLeast"/>
        <w:ind w:firstLine="320" w:firstLineChars="100"/>
        <w:rPr>
          <w:rFonts w:ascii="方正仿宋_GBK" w:hAnsi="华文仿宋" w:eastAsia="方正仿宋_GBK"/>
          <w:sz w:val="32"/>
          <w:szCs w:val="32"/>
        </w:rPr>
      </w:pPr>
    </w:p>
    <w:p w14:paraId="330FBD29"/>
    <w:sectPr>
      <w:pgSz w:w="11906" w:h="16838"/>
      <w:pgMar w:top="1440" w:right="1286"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简体">
    <w:altName w:val="微软雅黑"/>
    <w:panose1 w:val="00000000000000000000"/>
    <w:charset w:val="00"/>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大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方正仿宋_GBK">
    <w:altName w:val="微软雅黑"/>
    <w:panose1 w:val="02000000000000000000"/>
    <w:charset w:val="86"/>
    <w:family w:val="auto"/>
    <w:pitch w:val="default"/>
    <w:sig w:usb0="00000000" w:usb1="00000000" w:usb2="00000000" w:usb3="00000000" w:csb0="00040000" w:csb1="00000000"/>
  </w:font>
  <w:font w:name="华文仿宋">
    <w:altName w:val="仿宋"/>
    <w:panose1 w:val="02010600040101010101"/>
    <w:charset w:val="00"/>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Kingsoft UE">
    <w:panose1 w:val="02000100010000000000"/>
    <w:charset w:val="00"/>
    <w:family w:val="auto"/>
    <w:pitch w:val="default"/>
    <w:sig w:usb0="00000001" w:usb1="00004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4A4474"/>
    <w:rsid w:val="264A4474"/>
    <w:rsid w:val="3C4816E7"/>
    <w:rsid w:val="495E079C"/>
    <w:rsid w:val="5C5960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方正仿宋简体" w:hAnsi="方正仿宋简体" w:eastAsia="方正仿宋简体" w:cs="Times New Roman"/>
      <w:color w:val="000000"/>
      <w:sz w:val="24"/>
      <w:szCs w:val="22"/>
      <w:lang w:val="en-US" w:eastAsia="zh-CN" w:bidi="ar-SA"/>
    </w:rPr>
  </w:style>
  <w:style w:type="paragraph" w:styleId="3">
    <w:name w:val="Normal (Web)"/>
    <w:basedOn w:val="1"/>
    <w:semiHidden/>
    <w:unhideWhenUsed/>
    <w:qFormat/>
    <w:uiPriority w:val="99"/>
    <w:pPr>
      <w:keepNext w:val="0"/>
      <w:keepLines w:val="0"/>
      <w:widowControl w:val="0"/>
      <w:suppressLineNumbers w:val="0"/>
      <w:spacing w:before="0" w:beforeAutospacing="1" w:after="0" w:afterAutospacing="1" w:line="240" w:lineRule="auto"/>
      <w:ind w:left="0" w:right="0" w:firstLine="0"/>
      <w:jc w:val="left"/>
    </w:pPr>
    <w:rPr>
      <w:rFonts w:hint="default" w:ascii="Calibri" w:hAnsi="Calibri" w:eastAsia="宋体" w:cs="Calibri"/>
      <w:kern w:val="0"/>
      <w:sz w:val="24"/>
      <w:szCs w:val="24"/>
      <w:lang w:val="en-US" w:eastAsia="zh-CN" w:bidi="ar"/>
    </w:rPr>
  </w:style>
  <w:style w:type="character" w:styleId="6">
    <w:name w:val="Strong"/>
    <w:basedOn w:val="5"/>
    <w:qFormat/>
    <w:uiPriority w:val="22"/>
    <w:rPr>
      <w:rFonts w:ascii="Times New Roman" w:hAnsi="Times New Roman" w:eastAsia="宋体" w:cs="Times New Roman"/>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1833</Words>
  <Characters>1879</Characters>
  <Lines>0</Lines>
  <Paragraphs>0</Paragraphs>
  <TotalTime>1</TotalTime>
  <ScaleCrop>false</ScaleCrop>
  <LinksUpToDate>false</LinksUpToDate>
  <CharactersWithSpaces>2009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2026-01-05T03:06:00Z</dcterms:created>
  <dc:creator>信息安全头等舱</dc:creator>
  <cp:lastModifiedBy>信息安全头等舱</cp:lastModifiedBy>
  <dcterms:modified xsi:type="dcterms:W3CDTF">2026-02-26T01:24:45Z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753B943F200A4BACBE4F1A46EB5C0F71_13</vt:lpwstr>
  </property>
  <property fmtid="{D5CDD505-2E9C-101B-9397-08002B2CF9AE}" pid="4" name="KSOTemplateDocerSaveRecord">
    <vt:lpwstr>eyJoZGlkIjoiYjdiOWIwODAzNGE0YzE3MjdiNGEyYzgxY2Q2YzExNmIiLCJ1c2VySWQiOiIxNjgyNTIxNTI5In0=</vt:lpwstr>
  </property>
</Properties>
</file>