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4EC1">
      <w:pPr>
        <w:keepNext w:val="0"/>
        <w:keepLines w:val="0"/>
        <w:widowControl w:val="0"/>
        <w:suppressLineNumbers w:val="0"/>
        <w:autoSpaceDE/>
        <w:autoSpaceDN w:val="0"/>
        <w:spacing w:before="0" w:beforeAutospacing="0" w:after="0" w:afterAutospacing="0" w:line="600" w:lineRule="exact"/>
        <w:ind w:left="0" w:right="0" w:firstLine="0"/>
        <w:jc w:val="both"/>
        <w:outlineLvl w:val="0"/>
        <w:rPr>
          <w:rFonts w:hint="eastAsia" w:ascii="黑体" w:hAnsi="宋体" w:eastAsia="黑体" w:cs="黑体"/>
          <w:caps w:val="0"/>
          <w:color w:val="auto"/>
          <w:kern w:val="2"/>
          <w:sz w:val="32"/>
          <w:szCs w:val="32"/>
          <w:vertAlign w:val="baseline"/>
          <w:lang w:val="en-US" w:eastAsia="zh-CN" w:bidi="ar"/>
        </w:rPr>
      </w:pPr>
      <w:r>
        <w:rPr>
          <w:rFonts w:hint="eastAsia" w:ascii="黑体" w:hAnsi="宋体" w:eastAsia="黑体" w:cs="黑体"/>
          <w:b w:val="0"/>
          <w:bCs w:val="0"/>
          <w:caps w:val="0"/>
          <w:color w:val="auto"/>
          <w:kern w:val="2"/>
          <w:sz w:val="32"/>
          <w:szCs w:val="32"/>
          <w:vertAlign w:val="baseline"/>
          <w:lang w:val="en-US" w:eastAsia="zh-CN" w:bidi="ar"/>
        </w:rPr>
        <w:t>附件2</w:t>
      </w:r>
    </w:p>
    <w:p w14:paraId="677BF422">
      <w:pPr>
        <w:keepNext w:val="0"/>
        <w:keepLines w:val="0"/>
        <w:widowControl w:val="0"/>
        <w:suppressLineNumbers w:val="0"/>
        <w:autoSpaceDE/>
        <w:autoSpaceDN w:val="0"/>
        <w:spacing w:before="0" w:beforeAutospacing="0" w:after="0" w:afterAutospacing="0" w:line="600" w:lineRule="exact"/>
        <w:ind w:left="0" w:right="0" w:firstLine="0"/>
        <w:jc w:val="center"/>
        <w:outlineLvl w:val="0"/>
        <w:rPr>
          <w:rFonts w:hint="eastAsia" w:ascii="方正小标宋简体" w:hAnsi="方正小标宋简体" w:eastAsia="方正小标宋简体" w:cs="方正小标宋简体"/>
          <w:caps w:val="0"/>
          <w:color w:val="333333"/>
          <w:kern w:val="0"/>
          <w:sz w:val="36"/>
          <w:szCs w:val="36"/>
          <w:shd w:val="clear" w:color="auto" w:fill="FFFFFF"/>
          <w:vertAlign w:val="baseline"/>
          <w:lang w:val="en-US" w:bidi="ar"/>
        </w:rPr>
      </w:pPr>
      <w:bookmarkStart w:id="0" w:name="_Toc1088704753"/>
      <w:r>
        <w:rPr>
          <w:rFonts w:hint="eastAsia" w:ascii="方正小标宋简体" w:hAnsi="方正小标宋简体" w:eastAsia="方正小标宋简体" w:cs="方正小标宋简体"/>
          <w:b w:val="0"/>
          <w:bCs w:val="0"/>
          <w:caps w:val="0"/>
          <w:color w:val="333333"/>
          <w:spacing w:val="-20"/>
          <w:kern w:val="0"/>
          <w:sz w:val="36"/>
          <w:szCs w:val="36"/>
          <w:shd w:val="clear" w:color="auto" w:fill="FFFFFF"/>
          <w:vertAlign w:val="baseline"/>
          <w:lang w:val="en-US" w:eastAsia="zh-CN" w:bidi="ar"/>
        </w:rPr>
        <w:t>宁夏回族自治区长期护理保险</w:t>
      </w:r>
    </w:p>
    <w:p w14:paraId="6DA3A19E">
      <w:pPr>
        <w:keepNext w:val="0"/>
        <w:keepLines w:val="0"/>
        <w:widowControl w:val="0"/>
        <w:suppressLineNumbers w:val="0"/>
        <w:autoSpaceDE/>
        <w:autoSpaceDN w:val="0"/>
        <w:spacing w:before="0" w:beforeAutospacing="0" w:after="0" w:afterAutospacing="0" w:line="600" w:lineRule="exact"/>
        <w:ind w:left="0" w:right="0" w:firstLine="0"/>
        <w:jc w:val="center"/>
        <w:outlineLvl w:val="0"/>
        <w:rPr>
          <w:rFonts w:hint="eastAsia" w:ascii="方正小标宋简体" w:hAnsi="方正小标宋简体" w:eastAsia="方正小标宋简体" w:cs="方正小标宋简体"/>
          <w:caps w:val="0"/>
          <w:color w:val="333333"/>
          <w:spacing w:val="-20"/>
          <w:kern w:val="0"/>
          <w:sz w:val="36"/>
          <w:szCs w:val="36"/>
          <w:shd w:val="clear" w:color="auto" w:fill="FFFFFF"/>
          <w:vertAlign w:val="baseline"/>
          <w:lang w:val="en-US" w:bidi="ar"/>
        </w:rPr>
      </w:pPr>
      <w:r>
        <w:rPr>
          <w:rFonts w:hint="eastAsia" w:ascii="方正小标宋简体" w:hAnsi="方正小标宋简体" w:eastAsia="方正小标宋简体" w:cs="方正小标宋简体"/>
          <w:b w:val="0"/>
          <w:bCs w:val="0"/>
          <w:caps w:val="0"/>
          <w:color w:val="333333"/>
          <w:spacing w:val="-20"/>
          <w:kern w:val="0"/>
          <w:sz w:val="36"/>
          <w:szCs w:val="36"/>
          <w:shd w:val="clear" w:color="auto" w:fill="FFFFFF"/>
          <w:vertAlign w:val="baseline"/>
          <w:lang w:val="en-US" w:eastAsia="zh-CN" w:bidi="ar"/>
        </w:rPr>
        <w:t>定点失能等级评估机构综合审核表</w:t>
      </w:r>
      <w:bookmarkEnd w:id="0"/>
    </w:p>
    <w:p w14:paraId="5D94A12C">
      <w:pPr>
        <w:keepNext w:val="0"/>
        <w:keepLines w:val="0"/>
        <w:widowControl w:val="0"/>
        <w:suppressLineNumbers w:val="0"/>
        <w:autoSpaceDE/>
        <w:autoSpaceDN w:val="0"/>
        <w:spacing w:before="0" w:beforeAutospacing="0" w:after="0" w:afterAutospacing="0" w:line="600" w:lineRule="exact"/>
        <w:ind w:left="0" w:right="0" w:firstLine="0"/>
        <w:jc w:val="both"/>
        <w:outlineLvl w:val="0"/>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 xml:space="preserve">机构名称：                  地址：     </w:t>
      </w:r>
      <w:r>
        <w:rPr>
          <w:rFonts w:hint="eastAsia" w:ascii="仿宋_GB2312" w:hAnsi="仿宋_GB2312" w:eastAsia="仿宋_GB2312" w:cs="仿宋_GB2312"/>
          <w:b w:val="0"/>
          <w:bCs w:val="0"/>
          <w:caps w:val="0"/>
          <w:color w:val="auto"/>
          <w:kern w:val="2"/>
          <w:sz w:val="24"/>
          <w:szCs w:val="24"/>
          <w:vertAlign w:val="baseline"/>
          <w:lang w:val="en-US" w:eastAsia="zh" w:bidi="ar"/>
        </w:rPr>
        <w:t xml:space="preserve">  </w:t>
      </w:r>
      <w:r>
        <w:rPr>
          <w:rFonts w:hint="eastAsia" w:ascii="仿宋_GB2312" w:hAnsi="仿宋_GB2312" w:eastAsia="仿宋_GB2312" w:cs="仿宋_GB2312"/>
          <w:b w:val="0"/>
          <w:bCs w:val="0"/>
          <w:caps w:val="0"/>
          <w:color w:val="auto"/>
          <w:kern w:val="2"/>
          <w:sz w:val="24"/>
          <w:szCs w:val="24"/>
          <w:vertAlign w:val="baseline"/>
          <w:lang w:val="en-US" w:eastAsia="zh-CN" w:bidi="ar"/>
        </w:rPr>
        <w:t xml:space="preserve">           评估时间： </w:t>
      </w:r>
      <w:r>
        <w:rPr>
          <w:rFonts w:hint="eastAsia" w:ascii="仿宋_GB2312" w:hAnsi="仿宋_GB2312" w:eastAsia="仿宋_GB2312" w:cs="仿宋_GB2312"/>
          <w:b w:val="0"/>
          <w:bCs w:val="0"/>
          <w:caps w:val="0"/>
          <w:color w:val="auto"/>
          <w:kern w:val="2"/>
          <w:sz w:val="24"/>
          <w:szCs w:val="24"/>
          <w:vertAlign w:val="baseline"/>
          <w:lang w:val="en-US" w:eastAsia="zh" w:bidi="ar"/>
        </w:rPr>
        <w:t xml:space="preserve"> </w:t>
      </w:r>
      <w:r>
        <w:rPr>
          <w:rFonts w:hint="eastAsia" w:ascii="仿宋_GB2312" w:hAnsi="仿宋_GB2312" w:eastAsia="仿宋_GB2312" w:cs="仿宋_GB2312"/>
          <w:b w:val="0"/>
          <w:bCs w:val="0"/>
          <w:caps w:val="0"/>
          <w:color w:val="auto"/>
          <w:kern w:val="2"/>
          <w:sz w:val="24"/>
          <w:szCs w:val="24"/>
          <w:vertAlign w:val="baseline"/>
          <w:lang w:val="en-US" w:eastAsia="zh-CN" w:bidi="ar"/>
        </w:rPr>
        <w:t>年  月  日</w:t>
      </w:r>
    </w:p>
    <w:tbl>
      <w:tblPr>
        <w:tblStyle w:val="5"/>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581"/>
        <w:gridCol w:w="12"/>
        <w:gridCol w:w="1184"/>
        <w:gridCol w:w="5531"/>
        <w:gridCol w:w="1211"/>
      </w:tblGrid>
      <w:tr w14:paraId="0E33A2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391EAAE6">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黑体" w:hAnsi="宋体" w:eastAsia="黑体" w:cs="黑体"/>
                <w:caps w:val="0"/>
                <w:color w:val="auto"/>
                <w:kern w:val="2"/>
                <w:sz w:val="24"/>
                <w:szCs w:val="24"/>
                <w:vertAlign w:val="baseline"/>
                <w:lang w:val="en-US" w:eastAsia="zh-CN" w:bidi="ar"/>
              </w:rPr>
            </w:pPr>
            <w:r>
              <w:rPr>
                <w:rFonts w:hint="eastAsia" w:ascii="黑体" w:hAnsi="宋体" w:eastAsia="黑体" w:cs="黑体"/>
                <w:b w:val="0"/>
                <w:bCs w:val="0"/>
                <w:caps w:val="0"/>
                <w:color w:val="auto"/>
                <w:kern w:val="2"/>
                <w:sz w:val="24"/>
                <w:szCs w:val="24"/>
                <w:vertAlign w:val="baseline"/>
                <w:lang w:val="en-US" w:eastAsia="zh-CN" w:bidi="ar"/>
              </w:rPr>
              <w:t>序号</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14:paraId="548580C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黑体" w:hAnsi="宋体" w:eastAsia="黑体" w:cs="黑体"/>
                <w:caps w:val="0"/>
                <w:color w:val="auto"/>
                <w:kern w:val="2"/>
                <w:sz w:val="24"/>
                <w:szCs w:val="24"/>
                <w:vertAlign w:val="baseline"/>
                <w:lang w:val="en-US" w:eastAsia="zh-CN" w:bidi="ar"/>
              </w:rPr>
            </w:pPr>
            <w:r>
              <w:rPr>
                <w:rFonts w:hint="eastAsia" w:ascii="黑体" w:hAnsi="宋体" w:eastAsia="黑体" w:cs="黑体"/>
                <w:b w:val="0"/>
                <w:bCs w:val="0"/>
                <w:caps w:val="0"/>
                <w:color w:val="auto"/>
                <w:kern w:val="2"/>
                <w:sz w:val="24"/>
                <w:szCs w:val="24"/>
                <w:vertAlign w:val="baseline"/>
                <w:lang w:val="en-US" w:eastAsia="zh-CN" w:bidi="ar"/>
              </w:rPr>
              <w:t>审核内容</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4E94E7F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黑体" w:hAnsi="宋体" w:eastAsia="黑体" w:cs="黑体"/>
                <w:caps w:val="0"/>
                <w:color w:val="auto"/>
                <w:kern w:val="2"/>
                <w:sz w:val="24"/>
                <w:szCs w:val="24"/>
                <w:vertAlign w:val="baseline"/>
                <w:lang w:val="en-US" w:eastAsia="zh-CN" w:bidi="ar"/>
              </w:rPr>
            </w:pPr>
            <w:r>
              <w:rPr>
                <w:rFonts w:hint="eastAsia" w:ascii="黑体" w:hAnsi="宋体" w:eastAsia="黑体" w:cs="黑体"/>
                <w:b w:val="0"/>
                <w:bCs w:val="0"/>
                <w:caps w:val="0"/>
                <w:color w:val="auto"/>
                <w:kern w:val="2"/>
                <w:sz w:val="24"/>
                <w:szCs w:val="24"/>
                <w:vertAlign w:val="baseline"/>
                <w:lang w:val="en-US" w:eastAsia="zh-CN" w:bidi="ar"/>
              </w:rPr>
              <w:t>审核标准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0F561F0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黑体" w:hAnsi="宋体" w:eastAsia="黑体" w:cs="黑体"/>
                <w:caps w:val="0"/>
                <w:color w:val="auto"/>
                <w:kern w:val="2"/>
                <w:sz w:val="24"/>
                <w:szCs w:val="24"/>
                <w:vertAlign w:val="baseline"/>
                <w:lang w:val="en-US" w:eastAsia="zh-CN" w:bidi="ar"/>
              </w:rPr>
            </w:pPr>
            <w:r>
              <w:rPr>
                <w:rFonts w:hint="eastAsia" w:ascii="黑体" w:hAnsi="宋体" w:eastAsia="黑体" w:cs="黑体"/>
                <w:b w:val="0"/>
                <w:bCs w:val="0"/>
                <w:caps w:val="0"/>
                <w:color w:val="auto"/>
                <w:kern w:val="2"/>
                <w:sz w:val="24"/>
                <w:szCs w:val="24"/>
                <w:vertAlign w:val="baseline"/>
                <w:lang w:val="en-US" w:eastAsia="zh-CN" w:bidi="ar"/>
              </w:rPr>
              <w:t>审核情况</w:t>
            </w:r>
          </w:p>
        </w:tc>
      </w:tr>
      <w:tr w14:paraId="6A9C3C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65" w:hRule="atLeast"/>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4CAAC07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1</w:t>
            </w:r>
          </w:p>
        </w:tc>
        <w:tc>
          <w:tcPr>
            <w:tcW w:w="702"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C294BFC">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服务资质</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06D6A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napToGrid w:val="0"/>
              <w:spacing w:before="0" w:beforeAutospacing="0" w:after="0" w:afterAutospacing="0" w:line="400" w:lineRule="atLeast"/>
              <w:ind w:left="0" w:right="0" w:firstLine="0"/>
              <w:jc w:val="left"/>
              <w:rPr>
                <w:rFonts w:hint="eastAsia" w:ascii="仿宋_GB2312" w:hAnsi="仿宋_GB2312" w:eastAsia="仿宋_GB2312" w:cs="仿宋_GB2312"/>
                <w:caps w:val="0"/>
                <w:color w:val="auto"/>
                <w:kern w:val="2"/>
                <w:sz w:val="24"/>
                <w:szCs w:val="24"/>
                <w:shd w:val="clear" w:color="auto" w:fill="FFFFFF"/>
                <w:vertAlign w:val="baseline"/>
                <w:lang w:val="en-US" w:eastAsia="zh-CN" w:bidi="ar"/>
              </w:rPr>
            </w:pPr>
            <w:r>
              <w:rPr>
                <w:rFonts w:hint="eastAsia" w:ascii="仿宋_GB2312" w:hAnsi="仿宋_GB2312" w:eastAsia="仿宋_GB2312" w:cs="仿宋_GB2312"/>
                <w:caps w:val="0"/>
                <w:color w:val="auto"/>
                <w:kern w:val="2"/>
                <w:sz w:val="24"/>
                <w:szCs w:val="24"/>
                <w:shd w:val="clear" w:color="auto" w:fill="FFFFFF"/>
                <w:vertAlign w:val="baseline"/>
                <w:lang w:val="en-US" w:eastAsia="zh-CN" w:bidi="ar"/>
              </w:rPr>
              <w:t>1.《营业执照》《执业许可证》《统一社会信用代码证书》等其中一个证明材料的正、副本原件及加盖公章的复印件；医疗机构应具备卫健部门颁发的《医疗机构执业许可证》。</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5478670">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D2627C7">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192AB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9" w:hRule="atLeast"/>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6ECBFCE6">
            <w:pPr>
              <w:keepNext w:val="0"/>
              <w:keepLines w:val="0"/>
              <w:pageBreakBefore w:val="0"/>
              <w:wordWrap/>
              <w:overflowPunct/>
              <w:topLinePunct w:val="0"/>
              <w:bidi w:val="0"/>
              <w:snapToGrid w:val="0"/>
              <w:spacing w:line="400" w:lineRule="atLeast"/>
              <w:rPr>
                <w:rFonts w:hint="eastAsia" w:ascii="宋体"/>
                <w:sz w:val="24"/>
                <w:szCs w:val="24"/>
              </w:rPr>
            </w:pPr>
          </w:p>
        </w:tc>
        <w:tc>
          <w:tcPr>
            <w:tcW w:w="7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528AEB2">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7858086E">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snapToGrid w:val="0"/>
                <w:color w:val="auto"/>
                <w:kern w:val="2"/>
                <w:sz w:val="24"/>
                <w:szCs w:val="24"/>
                <w:vertAlign w:val="baseline"/>
                <w:lang w:val="en-US" w:eastAsia="zh-CN" w:bidi="ar"/>
              </w:rPr>
              <w:t>2.在宁夏回族自治区内依法登记并正式运营不低于3个月，具有独立法人资格，能够开展失能等级评估工作。</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098A9E09">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B7D0B5A">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92B94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3019F2B0">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2</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14:paraId="1ECEA762">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基础配置</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6477C8E6">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000000"/>
                <w:kern w:val="2"/>
                <w:sz w:val="24"/>
                <w:szCs w:val="24"/>
                <w:vertAlign w:val="baseline"/>
                <w:lang w:val="en-US" w:eastAsia="zh-CN" w:bidi="ar"/>
              </w:rPr>
              <w:t>具有固定的办公场所，配备符合评估服务协议要求的软、硬件设备和相应管理维护人员。</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861FDE3">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BE45E90">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C5CF2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3" w:hRule="atLeast"/>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5DB8CDF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3</w:t>
            </w:r>
          </w:p>
        </w:tc>
        <w:tc>
          <w:tcPr>
            <w:tcW w:w="702"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0AFAFBE">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人员队伍</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75BACDB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caps w:val="0"/>
                <w:snapToGrid w:val="0"/>
                <w:color w:val="auto"/>
                <w:kern w:val="2"/>
                <w:sz w:val="24"/>
                <w:szCs w:val="24"/>
                <w:vertAlign w:val="baseline"/>
                <w:lang w:val="en-US" w:eastAsia="zh-CN" w:bidi="ar"/>
              </w:rPr>
              <w:t>1.具备与评估工作相适应的专业化人员队伍。其中，专职评估员、评估专家分别各不少于2人；</w:t>
            </w:r>
            <w:r>
              <w:rPr>
                <w:rFonts w:hint="eastAsia" w:ascii="仿宋_GB2312" w:hAnsi="仿宋_GB2312" w:eastAsia="仿宋_GB2312" w:cs="仿宋_GB2312"/>
                <w:caps w:val="0"/>
                <w:color w:val="auto"/>
                <w:kern w:val="2"/>
                <w:sz w:val="24"/>
                <w:szCs w:val="24"/>
                <w:vertAlign w:val="baseline"/>
                <w:lang w:val="en-US" w:eastAsia="zh-CN" w:bidi="ar"/>
              </w:rPr>
              <w:t>熟悉长期护理保险政策的</w:t>
            </w:r>
            <w:r>
              <w:rPr>
                <w:rFonts w:hint="eastAsia" w:ascii="仿宋_GB2312" w:hAnsi="仿宋_GB2312" w:eastAsia="仿宋_GB2312" w:cs="仿宋_GB2312"/>
                <w:caps w:val="0"/>
                <w:snapToGrid w:val="0"/>
                <w:color w:val="auto"/>
                <w:kern w:val="2"/>
                <w:sz w:val="24"/>
                <w:szCs w:val="24"/>
                <w:vertAlign w:val="baseline"/>
                <w:lang w:val="en-US" w:eastAsia="zh-CN" w:bidi="ar"/>
              </w:rPr>
              <w:t>专职管理人员不少于2人，信息技术管理维护人员不少于1人。</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FD14562">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6252FA2">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250B5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01" w:hRule="atLeast"/>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6D92D473">
            <w:pPr>
              <w:keepNext w:val="0"/>
              <w:keepLines w:val="0"/>
              <w:pageBreakBefore w:val="0"/>
              <w:wordWrap/>
              <w:overflowPunct/>
              <w:topLinePunct w:val="0"/>
              <w:bidi w:val="0"/>
              <w:snapToGrid w:val="0"/>
              <w:spacing w:line="400" w:lineRule="atLeast"/>
              <w:rPr>
                <w:rFonts w:hint="eastAsia" w:ascii="宋体"/>
                <w:sz w:val="24"/>
                <w:szCs w:val="24"/>
              </w:rPr>
            </w:pPr>
          </w:p>
        </w:tc>
        <w:tc>
          <w:tcPr>
            <w:tcW w:w="7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D0561BC">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3880783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snapToGrid w:val="0"/>
                <w:color w:val="auto"/>
                <w:kern w:val="2"/>
                <w:sz w:val="24"/>
                <w:szCs w:val="24"/>
                <w:vertAlign w:val="baseline"/>
                <w:lang w:val="en-US" w:eastAsia="zh-CN" w:bidi="ar"/>
              </w:rPr>
            </w:pPr>
            <w:r>
              <w:rPr>
                <w:rFonts w:hint="eastAsia" w:ascii="仿宋_GB2312" w:hAnsi="仿宋_GB2312" w:eastAsia="仿宋_GB2312" w:cs="仿宋_GB2312"/>
                <w:caps w:val="0"/>
                <w:snapToGrid w:val="0"/>
                <w:color w:val="auto"/>
                <w:kern w:val="2"/>
                <w:sz w:val="24"/>
                <w:szCs w:val="24"/>
                <w:vertAlign w:val="baseline"/>
                <w:lang w:val="en-US" w:eastAsia="zh-CN" w:bidi="ar"/>
              </w:rPr>
              <w:t>2.评估人员应经专业培训，并取得相关资格证书，符合行业规范，人员类型、数量与服务能力、服务范围相匹配</w:t>
            </w:r>
            <w:r>
              <w:rPr>
                <w:rFonts w:hint="eastAsia" w:ascii="仿宋_GB2312" w:hAnsi="仿宋_GB2312" w:eastAsia="仿宋_GB2312" w:cs="仿宋_GB2312"/>
                <w:caps w:val="0"/>
                <w:color w:val="auto"/>
                <w:kern w:val="2"/>
                <w:sz w:val="24"/>
                <w:szCs w:val="24"/>
                <w:vertAlign w:val="baseline"/>
                <w:lang w:val="en-US" w:eastAsia="zh-CN" w:bidi="ar"/>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6E7A45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16B5484">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09E908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9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6CB1403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4</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14:paraId="6931CA77">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制度管理</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0243D302">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申请机构提供的规范化培训管理、质量评价、人员管理、财务管理、信息管理、档案管理等制度符合长期护理保险工作实际。</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75657E0">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C2CEB9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50773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3C19520E">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5</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14:paraId="0EA93882">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信息技术</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4A5DEB77">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具备使用全国统一的医保信息平台长期护理保险相关功能模块能力和同医保信息平台按接口标准进行对接等条件。</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701D37C">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ECAF95C">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9F249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3ECF9DA0">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6</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14:paraId="0AB5448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档案管理</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FAEEB50">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w w:val="95"/>
                <w:kern w:val="2"/>
                <w:sz w:val="24"/>
                <w:szCs w:val="24"/>
                <w:vertAlign w:val="baseline"/>
                <w:lang w:val="en-US" w:eastAsia="zh-CN" w:bidi="ar"/>
              </w:rPr>
              <w:t>档案由专人负责管理、固定存放区域、一人一档且标识清楚，能根据工作要求及时调阅。</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3357059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8A3B93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5E91B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20B915F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7</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14:paraId="434235B7">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不予受理的情形</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6C6C583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w w:val="95"/>
                <w:sz w:val="24"/>
                <w:szCs w:val="24"/>
                <w:vertAlign w:val="baseline"/>
              </w:rPr>
            </w:pPr>
            <w:r>
              <w:rPr>
                <w:rFonts w:hint="eastAsia" w:ascii="仿宋_GB2312" w:hAnsi="仿宋_GB2312" w:eastAsia="仿宋_GB2312" w:cs="仿宋_GB2312"/>
                <w:b w:val="0"/>
                <w:bCs w:val="0"/>
                <w:caps w:val="0"/>
                <w:color w:val="auto"/>
                <w:w w:val="95"/>
                <w:kern w:val="2"/>
                <w:sz w:val="24"/>
                <w:szCs w:val="24"/>
                <w:vertAlign w:val="baseline"/>
                <w:lang w:val="en-US" w:eastAsia="zh-CN" w:bidi="ar"/>
              </w:rPr>
              <w:t>是否存在《</w:t>
            </w:r>
            <w:r>
              <w:rPr>
                <w:rFonts w:hint="eastAsia" w:ascii="仿宋_GB2312" w:hAnsi="仿宋_GB2312" w:eastAsia="仿宋_GB2312" w:cs="仿宋_GB2312"/>
                <w:b w:val="0"/>
                <w:bCs/>
                <w:caps w:val="0"/>
                <w:color w:val="auto"/>
                <w:w w:val="95"/>
                <w:kern w:val="2"/>
                <w:sz w:val="24"/>
                <w:szCs w:val="24"/>
                <w:vertAlign w:val="baseline"/>
                <w:lang w:val="en-US" w:eastAsia="zh-CN" w:bidi="ar"/>
              </w:rPr>
              <w:t>宁夏回族自治区长期护理保险失能等级评估机构定点管理</w:t>
            </w:r>
            <w:r>
              <w:rPr>
                <w:rFonts w:hint="eastAsia" w:ascii="仿宋_GB2312" w:hAnsi="仿宋_GB2312" w:eastAsia="仿宋_GB2312" w:cs="仿宋_GB2312"/>
                <w:b w:val="0"/>
                <w:bCs w:val="0"/>
                <w:caps w:val="0"/>
                <w:color w:val="auto"/>
                <w:w w:val="95"/>
                <w:kern w:val="2"/>
                <w:sz w:val="24"/>
                <w:szCs w:val="24"/>
                <w:vertAlign w:val="baseline"/>
                <w:lang w:val="en-US" w:eastAsia="zh-CN" w:bidi="ar"/>
              </w:rPr>
              <w:t>实施细则》第十条所规定的不予受理的情形。如有一项不予受理的情形即为不合格。</w:t>
            </w:r>
          </w:p>
          <w:p w14:paraId="05DC2D7A">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5A5D44B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614D32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361A0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4288" w:type="pct"/>
            <w:gridSpan w:val="4"/>
            <w:tcBorders>
              <w:top w:val="single" w:color="auto" w:sz="4" w:space="0"/>
              <w:left w:val="single" w:color="auto" w:sz="4" w:space="0"/>
              <w:bottom w:val="single" w:color="auto" w:sz="4" w:space="0"/>
              <w:right w:val="single" w:color="auto" w:sz="4" w:space="0"/>
            </w:tcBorders>
            <w:noWrap w:val="0"/>
            <w:vAlign w:val="center"/>
          </w:tcPr>
          <w:p w14:paraId="48DB13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kern w:val="0"/>
                <w:sz w:val="24"/>
                <w:szCs w:val="24"/>
                <w:vertAlign w:val="baseline"/>
                <w:lang w:val="en-US" w:eastAsia="zh-CN" w:bidi="ar"/>
              </w:rPr>
            </w:pPr>
            <w:r>
              <w:rPr>
                <w:rFonts w:hint="eastAsia" w:ascii="仿宋_GB2312" w:hAnsi="仿宋_GB2312" w:eastAsia="仿宋_GB2312" w:cs="仿宋_GB2312"/>
                <w:b w:val="0"/>
                <w:bCs w:val="0"/>
                <w:caps w:val="0"/>
                <w:color w:val="auto"/>
                <w:sz w:val="24"/>
                <w:szCs w:val="24"/>
                <w:vertAlign w:val="baseline"/>
              </w:rPr>
              <w:t>审核情况</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05D5F14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87BE931">
            <w:pPr>
              <w:keepNext w:val="0"/>
              <w:keepLines w:val="0"/>
              <w:pageBreakBefore w:val="0"/>
              <w:widowControl/>
              <w:suppressLineNumbers w:val="0"/>
              <w:kinsoku/>
              <w:wordWrap/>
              <w:overflowPunct/>
              <w:topLinePunct w:val="0"/>
              <w:autoSpaceDE/>
              <w:autoSpaceDN w:val="0"/>
              <w:bidi w:val="0"/>
              <w:adjustRightInd/>
              <w:snapToGrid w:val="0"/>
              <w:spacing w:beforeAutospacing="0" w:afterAutospacing="0" w:line="400" w:lineRule="atLeast"/>
              <w:ind w:left="0" w:right="0" w:firstLine="0"/>
              <w:jc w:val="both"/>
              <w:rPr>
                <w:rFonts w:hint="eastAsia" w:ascii="仿宋_GB2312" w:hAnsi="仿宋_GB2312" w:eastAsia="仿宋_GB2312" w:cs="仿宋_GB2312"/>
                <w:b w:val="0"/>
                <w:bCs w:val="0"/>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CDED6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60EF04B">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以上为基础指标，有一项不合格，审核结果即为不合格</w:t>
            </w:r>
          </w:p>
        </w:tc>
      </w:tr>
      <w:tr w14:paraId="40966D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2" w:hRule="atLeast"/>
        </w:trPr>
        <w:tc>
          <w:tcPr>
            <w:tcW w:w="34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329F7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1</w:t>
            </w:r>
          </w:p>
        </w:tc>
        <w:tc>
          <w:tcPr>
            <w:tcW w:w="694" w:type="pct"/>
            <w:vMerge w:val="restart"/>
            <w:tcBorders>
              <w:top w:val="single" w:color="auto" w:sz="4" w:space="0"/>
              <w:left w:val="single" w:color="auto" w:sz="4" w:space="0"/>
              <w:bottom w:val="single" w:color="auto" w:sz="4" w:space="0"/>
              <w:right w:val="single" w:color="auto" w:sz="4" w:space="0"/>
            </w:tcBorders>
            <w:noWrap w:val="0"/>
            <w:vAlign w:val="center"/>
          </w:tcPr>
          <w:p w14:paraId="49830B1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基础配置</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1A1E47AA">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000000"/>
                <w:kern w:val="2"/>
                <w:sz w:val="24"/>
                <w:szCs w:val="24"/>
                <w:vertAlign w:val="baseline"/>
                <w:lang w:val="en-US" w:eastAsia="zh-CN" w:bidi="ar"/>
              </w:rPr>
              <w:t>1.经营场所建筑面积在50平米（含）以上，每增加10个平方，加1分，最高得10分。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D257C26">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16829A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08A4B5C">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6BA3FFF0">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B5196CB">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000000"/>
                <w:kern w:val="2"/>
                <w:sz w:val="24"/>
                <w:szCs w:val="24"/>
                <w:vertAlign w:val="baseline"/>
                <w:lang w:val="en-US" w:eastAsia="zh-CN" w:bidi="ar"/>
              </w:rPr>
              <w:t>2.自申请之日起经营场所租赁协议剩余有效期超过2年（含）得2分，每增加1年加1分，最高不超过5分；自有经营场所产权，得5分。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460A845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710DB4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7A428A9">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7510BD22">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42C3FC83">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000000"/>
                <w:kern w:val="2"/>
                <w:sz w:val="24"/>
                <w:szCs w:val="24"/>
                <w:vertAlign w:val="baseline"/>
                <w:lang w:val="en-US" w:eastAsia="zh-CN" w:bidi="ar"/>
              </w:rPr>
              <w:t>3.具备基础的硬件设备：包括设置独立的咨询服务区、业务办公区、实名制档案管理区、实操培训区、物资存放区或消毒灭菌区。满足一个功能区得2分，最高得10分。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9B94D66">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4A0DF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35DBF91">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07CCF1DB">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10C4052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4.为评估人员上门服务，配备统一服装、服务包（箱）、工作证的，</w:t>
            </w:r>
            <w:r>
              <w:rPr>
                <w:rFonts w:hint="eastAsia" w:ascii="仿宋_GB2312" w:hAnsi="仿宋_GB2312" w:eastAsia="仿宋_GB2312" w:cs="仿宋_GB2312"/>
                <w:b w:val="0"/>
                <w:bCs w:val="0"/>
                <w:caps w:val="0"/>
                <w:color w:val="000000"/>
                <w:kern w:val="2"/>
                <w:sz w:val="24"/>
                <w:szCs w:val="24"/>
                <w:vertAlign w:val="baseline"/>
                <w:lang w:val="en-US" w:eastAsia="zh-CN" w:bidi="ar"/>
              </w:rPr>
              <w:t>得5分。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F40484C">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0A4F39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C36B513">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7450C404">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97C63E9">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000000"/>
                <w:kern w:val="2"/>
                <w:sz w:val="24"/>
                <w:szCs w:val="24"/>
                <w:vertAlign w:val="baseline"/>
                <w:lang w:val="en-US" w:eastAsia="zh-CN" w:bidi="ar"/>
              </w:rPr>
              <w:t>5.配套专职管理人员的，得5分。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466EF1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3CD7DF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5" w:hRule="atLeast"/>
        </w:trPr>
        <w:tc>
          <w:tcPr>
            <w:tcW w:w="34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0DC4E0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2</w:t>
            </w:r>
          </w:p>
        </w:tc>
        <w:tc>
          <w:tcPr>
            <w:tcW w:w="694" w:type="pct"/>
            <w:vMerge w:val="restart"/>
            <w:tcBorders>
              <w:top w:val="single" w:color="auto" w:sz="4" w:space="0"/>
              <w:left w:val="single" w:color="auto" w:sz="4" w:space="0"/>
              <w:bottom w:val="single" w:color="auto" w:sz="4" w:space="0"/>
              <w:right w:val="single" w:color="auto" w:sz="4" w:space="0"/>
            </w:tcBorders>
            <w:noWrap w:val="0"/>
            <w:vAlign w:val="center"/>
          </w:tcPr>
          <w:p w14:paraId="6C384653">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人员队伍</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927226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000000"/>
                <w:kern w:val="2"/>
                <w:sz w:val="24"/>
                <w:szCs w:val="24"/>
                <w:vertAlign w:val="baseline"/>
                <w:lang w:val="en-US" w:eastAsia="zh-CN" w:bidi="ar"/>
              </w:rPr>
            </w:pPr>
            <w:r>
              <w:rPr>
                <w:rFonts w:hint="eastAsia" w:ascii="仿宋_GB2312" w:hAnsi="仿宋_GB2312" w:eastAsia="仿宋_GB2312" w:cs="仿宋_GB2312"/>
                <w:b w:val="0"/>
                <w:bCs w:val="0"/>
                <w:caps w:val="0"/>
                <w:color w:val="000000"/>
                <w:kern w:val="2"/>
                <w:sz w:val="24"/>
                <w:szCs w:val="24"/>
                <w:vertAlign w:val="baseline"/>
                <w:lang w:val="en-US" w:eastAsia="zh-CN" w:bidi="ar"/>
              </w:rPr>
              <w:t>1.持证率达到100%的得10分。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3F17977">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7F1880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5D1774A">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674D9242">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06DC4FE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000000"/>
                <w:kern w:val="2"/>
                <w:sz w:val="24"/>
                <w:szCs w:val="24"/>
                <w:vertAlign w:val="baseline"/>
                <w:lang w:val="en-US" w:eastAsia="zh-CN" w:bidi="ar"/>
              </w:rPr>
            </w:pPr>
            <w:r>
              <w:rPr>
                <w:rFonts w:hint="eastAsia" w:ascii="仿宋_GB2312" w:hAnsi="仿宋_GB2312" w:eastAsia="仿宋_GB2312" w:cs="仿宋_GB2312"/>
                <w:b w:val="0"/>
                <w:bCs w:val="0"/>
                <w:caps w:val="0"/>
                <w:snapToGrid w:val="0"/>
                <w:color w:val="auto"/>
                <w:kern w:val="2"/>
                <w:sz w:val="24"/>
                <w:szCs w:val="24"/>
                <w:vertAlign w:val="baseline"/>
                <w:lang w:val="en-US" w:eastAsia="zh-CN" w:bidi="ar"/>
              </w:rPr>
              <w:t>2.配备专职评估员、评估专家分别各不少于2人；专职管理人员不少于2人，信息技术管理维护人员不少于1人，</w:t>
            </w:r>
            <w:r>
              <w:rPr>
                <w:rFonts w:hint="eastAsia" w:ascii="仿宋_GB2312" w:hAnsi="仿宋_GB2312" w:eastAsia="仿宋_GB2312" w:cs="仿宋_GB2312"/>
                <w:b w:val="0"/>
                <w:bCs w:val="0"/>
                <w:caps w:val="0"/>
                <w:color w:val="000000"/>
                <w:kern w:val="2"/>
                <w:sz w:val="24"/>
                <w:szCs w:val="24"/>
                <w:vertAlign w:val="baseline"/>
                <w:lang w:val="en-US" w:eastAsia="zh-CN" w:bidi="ar"/>
              </w:rPr>
              <w:t>得15分。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3EDCABA3">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6D7F01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52B084F">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15B7BC83">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7CBF36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000000"/>
                <w:kern w:val="2"/>
                <w:sz w:val="24"/>
                <w:szCs w:val="24"/>
                <w:vertAlign w:val="baseline"/>
                <w:lang w:val="en-US" w:eastAsia="zh-CN" w:bidi="ar"/>
              </w:rPr>
              <w:t>3.配备2名及以上高级职称的评估人员的得10分。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8F9560E">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147A86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tcBorders>
              <w:top w:val="single" w:color="auto" w:sz="4" w:space="0"/>
              <w:left w:val="single" w:color="auto" w:sz="4" w:space="0"/>
              <w:bottom w:val="single" w:color="auto" w:sz="4" w:space="0"/>
              <w:right w:val="single" w:color="auto" w:sz="4" w:space="0"/>
            </w:tcBorders>
            <w:noWrap w:val="0"/>
            <w:vAlign w:val="center"/>
          </w:tcPr>
          <w:p w14:paraId="32BD9A7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3</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11CFD76E">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制度管理</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47014B1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每有一项内部管理制度在机构显著位置公示的，得2分，</w:t>
            </w:r>
            <w:r>
              <w:rPr>
                <w:rFonts w:hint="eastAsia" w:ascii="仿宋_GB2312" w:hAnsi="仿宋_GB2312" w:eastAsia="仿宋_GB2312" w:cs="仿宋_GB2312"/>
                <w:b w:val="0"/>
                <w:bCs w:val="0"/>
                <w:caps w:val="0"/>
                <w:color w:val="000000"/>
                <w:kern w:val="2"/>
                <w:sz w:val="24"/>
                <w:szCs w:val="24"/>
                <w:vertAlign w:val="baseline"/>
                <w:lang w:val="en-US" w:eastAsia="zh-CN" w:bidi="ar"/>
              </w:rPr>
              <w:t>最高得10分</w:t>
            </w:r>
            <w:r>
              <w:rPr>
                <w:rFonts w:hint="eastAsia" w:ascii="仿宋_GB2312" w:hAnsi="仿宋_GB2312" w:eastAsia="仿宋_GB2312" w:cs="仿宋_GB2312"/>
                <w:b w:val="0"/>
                <w:bCs w:val="0"/>
                <w:caps w:val="0"/>
                <w:color w:val="auto"/>
                <w:kern w:val="2"/>
                <w:sz w:val="24"/>
                <w:szCs w:val="24"/>
                <w:vertAlign w:val="baseline"/>
                <w:lang w:val="en-US" w:eastAsia="zh-CN" w:bidi="ar"/>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DCE1C6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035DAB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5D95CF24">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4</w:t>
            </w:r>
          </w:p>
        </w:tc>
        <w:tc>
          <w:tcPr>
            <w:tcW w:w="694" w:type="pct"/>
            <w:vMerge w:val="restart"/>
            <w:tcBorders>
              <w:top w:val="single" w:color="auto" w:sz="4" w:space="0"/>
              <w:left w:val="single" w:color="auto" w:sz="4" w:space="0"/>
              <w:bottom w:val="single" w:color="auto" w:sz="4" w:space="0"/>
              <w:right w:val="single" w:color="auto" w:sz="4" w:space="0"/>
            </w:tcBorders>
            <w:noWrap w:val="0"/>
            <w:vAlign w:val="center"/>
          </w:tcPr>
          <w:p w14:paraId="3CF6615C">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信息技术</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891108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1.配置失能等级评估信息系统的得10分。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316E44B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144EA2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E39D1C6">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007C8BDB">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700418D8">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2.建立信息安全内控制度，且提供相关文件的得3分。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F2B7EAD">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655127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0A00CEA">
            <w:pPr>
              <w:keepNext w:val="0"/>
              <w:keepLines w:val="0"/>
              <w:pageBreakBefore w:val="0"/>
              <w:wordWrap/>
              <w:overflowPunct/>
              <w:topLinePunct w:val="0"/>
              <w:bidi w:val="0"/>
              <w:snapToGrid w:val="0"/>
              <w:spacing w:line="400" w:lineRule="atLeast"/>
              <w:rPr>
                <w:rFonts w:hint="eastAsia" w:ascii="宋体"/>
                <w:sz w:val="24"/>
                <w:szCs w:val="24"/>
              </w:rPr>
            </w:pPr>
          </w:p>
        </w:tc>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30382DE3">
            <w:pPr>
              <w:keepNext w:val="0"/>
              <w:keepLines w:val="0"/>
              <w:pageBreakBefore w:val="0"/>
              <w:wordWrap/>
              <w:overflowPunct/>
              <w:topLinePunct w:val="0"/>
              <w:bidi w:val="0"/>
              <w:snapToGrid w:val="0"/>
              <w:spacing w:line="400" w:lineRule="atLeast"/>
              <w:rPr>
                <w:rFonts w:hint="eastAsia" w:ascii="宋体"/>
                <w:sz w:val="24"/>
                <w:szCs w:val="24"/>
              </w:rPr>
            </w:pPr>
          </w:p>
        </w:tc>
        <w:tc>
          <w:tcPr>
            <w:tcW w:w="3245" w:type="pct"/>
            <w:tcBorders>
              <w:top w:val="single" w:color="auto" w:sz="4" w:space="0"/>
              <w:left w:val="single" w:color="auto" w:sz="4" w:space="0"/>
              <w:bottom w:val="single" w:color="auto" w:sz="4" w:space="0"/>
              <w:right w:val="single" w:color="auto" w:sz="4" w:space="0"/>
            </w:tcBorders>
            <w:noWrap w:val="0"/>
            <w:vAlign w:val="center"/>
          </w:tcPr>
          <w:p w14:paraId="5D12B915">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3.专人负责信息系统和网络安全保障，且提供专人名单的得2分。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4114543">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6AFC69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348" w:type="pct"/>
            <w:gridSpan w:val="2"/>
            <w:tcBorders>
              <w:top w:val="single" w:color="auto" w:sz="4" w:space="0"/>
              <w:left w:val="single" w:color="auto" w:sz="4" w:space="0"/>
              <w:bottom w:val="single" w:color="auto" w:sz="4" w:space="0"/>
              <w:right w:val="single" w:color="auto" w:sz="4" w:space="0"/>
            </w:tcBorders>
            <w:noWrap w:val="0"/>
            <w:vAlign w:val="center"/>
          </w:tcPr>
          <w:p w14:paraId="31C5BF8E">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kern w:val="2"/>
                <w:sz w:val="24"/>
                <w:szCs w:val="24"/>
                <w:vertAlign w:val="baseline"/>
                <w:lang w:val="en-US" w:eastAsia="zh-CN" w:bidi="ar"/>
              </w:rPr>
              <w:t>5</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4EBC92C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档案管理</w:t>
            </w:r>
          </w:p>
        </w:tc>
        <w:tc>
          <w:tcPr>
            <w:tcW w:w="3245" w:type="pct"/>
            <w:tcBorders>
              <w:top w:val="single" w:color="auto" w:sz="4" w:space="0"/>
              <w:left w:val="single" w:color="auto" w:sz="4" w:space="0"/>
              <w:bottom w:val="single" w:color="auto" w:sz="4" w:space="0"/>
              <w:right w:val="single" w:color="auto" w:sz="4" w:space="0"/>
            </w:tcBorders>
            <w:noWrap w:val="0"/>
            <w:vAlign w:val="center"/>
          </w:tcPr>
          <w:p w14:paraId="21B3D5CC">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建立失能人员一人一档，实行电子化档案管理的，</w:t>
            </w:r>
            <w:r>
              <w:rPr>
                <w:rFonts w:hint="eastAsia" w:ascii="仿宋_GB2312" w:hAnsi="仿宋_GB2312" w:eastAsia="仿宋_GB2312" w:cs="仿宋_GB2312"/>
                <w:b w:val="0"/>
                <w:bCs w:val="0"/>
                <w:caps w:val="0"/>
                <w:color w:val="000000"/>
                <w:kern w:val="2"/>
                <w:sz w:val="24"/>
                <w:szCs w:val="24"/>
                <w:vertAlign w:val="baseline"/>
                <w:lang w:val="en-US" w:eastAsia="zh-CN" w:bidi="ar"/>
              </w:rPr>
              <w:t>得5分。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1BDA396">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5E488F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4288" w:type="pct"/>
            <w:gridSpan w:val="4"/>
            <w:tcBorders>
              <w:top w:val="single" w:color="auto" w:sz="4" w:space="0"/>
              <w:left w:val="single" w:color="auto" w:sz="4" w:space="0"/>
              <w:bottom w:val="single" w:color="auto" w:sz="4" w:space="0"/>
              <w:right w:val="single" w:color="auto" w:sz="4" w:space="0"/>
            </w:tcBorders>
            <w:noWrap w:val="0"/>
            <w:vAlign w:val="center"/>
          </w:tcPr>
          <w:p w14:paraId="10C2A3C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审核得分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B90C45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r w14:paraId="56EB28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06921F1">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以上为差异化指标，根据得分择优确定。</w:t>
            </w:r>
          </w:p>
        </w:tc>
      </w:tr>
      <w:tr w14:paraId="399A46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66"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67350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480" w:firstLineChars="200"/>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62E5FB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377EED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3354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p w14:paraId="7646D1AF">
            <w:pPr>
              <w:keepNext w:val="0"/>
              <w:keepLines w:val="0"/>
              <w:pageBreakBefore w:val="0"/>
              <w:widowControl w:val="0"/>
              <w:suppressLineNumbers w:val="0"/>
              <w:kinsoku w:val="0"/>
              <w:wordWrap/>
              <w:overflowPunct/>
              <w:topLinePunct w:val="0"/>
              <w:autoSpaceDE/>
              <w:autoSpaceDN w:val="0"/>
              <w:bidi w:val="0"/>
              <w:adjustRightInd w:val="0"/>
              <w:snapToGrid w:val="0"/>
              <w:spacing w:beforeAutospacing="0" w:afterAutospacing="0" w:line="400" w:lineRule="atLeast"/>
              <w:ind w:left="0" w:right="0" w:firstLine="0"/>
              <w:jc w:val="center"/>
              <w:textAlignment w:val="baseline"/>
              <w:rPr>
                <w:rFonts w:hint="eastAsia" w:ascii="仿宋_GB2312" w:hAnsi="仿宋_GB2312" w:eastAsia="仿宋_GB2312" w:cs="仿宋_GB2312"/>
                <w:b w:val="0"/>
                <w:bCs w:val="0"/>
                <w:caps w:val="0"/>
                <w:color w:val="auto"/>
                <w:sz w:val="24"/>
                <w:szCs w:val="24"/>
                <w:vertAlign w:val="baseline"/>
              </w:rPr>
            </w:pPr>
          </w:p>
        </w:tc>
      </w:tr>
    </w:tbl>
    <w:p w14:paraId="3AF32989">
      <w:pPr>
        <w:keepNext w:val="0"/>
        <w:keepLines w:val="0"/>
        <w:widowControl w:val="0"/>
        <w:suppressLineNumbers w:val="0"/>
        <w:spacing w:before="0" w:beforeAutospacing="0" w:after="0" w:afterAutospacing="0" w:line="500" w:lineRule="exact"/>
        <w:ind w:left="0" w:right="0" w:firstLine="0"/>
        <w:jc w:val="left"/>
        <w:rPr>
          <w:rFonts w:hint="eastAsia" w:ascii="仿宋_GB2312" w:hAnsi="仿宋_GB2312" w:eastAsia="仿宋_GB2312" w:cs="仿宋_GB2312"/>
          <w:caps w:val="0"/>
          <w:color w:val="auto"/>
          <w:sz w:val="24"/>
          <w:szCs w:val="24"/>
          <w:vertAlign w:val="baseline"/>
        </w:rPr>
      </w:pPr>
    </w:p>
    <w:p w14:paraId="3174D936">
      <w:pPr>
        <w:keepNext w:val="0"/>
        <w:keepLines w:val="0"/>
        <w:widowControl w:val="0"/>
        <w:suppressLineNumbers w:val="0"/>
        <w:spacing w:before="0" w:beforeAutospacing="0" w:after="0" w:afterAutospacing="0" w:line="240" w:lineRule="auto"/>
        <w:ind w:left="0" w:right="0" w:firstLine="0"/>
        <w:jc w:val="both"/>
        <w:rPr>
          <w:rFonts w:hint="eastAsia" w:ascii="仿宋_GB2312" w:hAnsi="仿宋_GB2312" w:eastAsia="仿宋_GB2312" w:cs="仿宋_GB2312"/>
          <w:caps w:val="0"/>
          <w:color w:val="000000"/>
          <w:kern w:val="0"/>
          <w:sz w:val="22"/>
          <w:szCs w:val="22"/>
          <w:vertAlign w:val="baseline"/>
        </w:rPr>
      </w:pPr>
    </w:p>
    <w:p w14:paraId="59CF4969">
      <w:pPr>
        <w:keepNext w:val="0"/>
        <w:keepLines w:val="0"/>
        <w:widowControl w:val="0"/>
        <w:suppressLineNumbers w:val="0"/>
        <w:spacing w:before="0" w:beforeAutospacing="0" w:after="0" w:afterAutospacing="0" w:line="240" w:lineRule="auto"/>
        <w:ind w:left="0" w:right="0" w:firstLine="0"/>
        <w:jc w:val="both"/>
        <w:rPr>
          <w:rFonts w:hint="default" w:ascii="Calibri" w:hAnsi="Calibri" w:eastAsia="宋体" w:cs="Calibri"/>
          <w:caps w:val="0"/>
          <w:color w:val="auto"/>
          <w:sz w:val="21"/>
          <w:szCs w:val="21"/>
          <w:vertAlign w:val="baseline"/>
        </w:rPr>
      </w:pPr>
    </w:p>
    <w:p w14:paraId="06B3880C">
      <w:pPr>
        <w:keepNext w:val="0"/>
        <w:keepLines w:val="0"/>
        <w:widowControl w:val="0"/>
        <w:suppressLineNumbers w:val="0"/>
        <w:autoSpaceDE/>
        <w:autoSpaceDN w:val="0"/>
        <w:spacing w:before="0" w:beforeAutospacing="0" w:after="0" w:afterAutospacing="0" w:line="600" w:lineRule="exact"/>
        <w:ind w:left="0" w:right="0" w:firstLine="0"/>
        <w:jc w:val="center"/>
        <w:outlineLvl w:val="0"/>
        <w:rPr>
          <w:rFonts w:hint="eastAsia" w:ascii="方正小标宋简体" w:hAnsi="方正小标宋简体" w:eastAsia="方正小标宋简体" w:cs="方正小标宋简体"/>
          <w:caps w:val="0"/>
          <w:color w:val="333333"/>
          <w:spacing w:val="-20"/>
          <w:kern w:val="0"/>
          <w:sz w:val="36"/>
          <w:szCs w:val="36"/>
          <w:shd w:val="clear" w:color="auto" w:fill="FFFFFF"/>
          <w:vertAlign w:val="baseline"/>
        </w:rPr>
      </w:pPr>
    </w:p>
    <w:p w14:paraId="3C214950"/>
    <w:p w14:paraId="592287BE">
      <w:pPr>
        <w:spacing w:line="300" w:lineRule="exact"/>
        <w:ind w:firstLine="640" w:firstLineChars="200"/>
        <w:rPr>
          <w:rFonts w:ascii="方正仿宋_GBK" w:hAnsi="华文仿宋" w:eastAsia="方正仿宋_GBK"/>
          <w:sz w:val="32"/>
          <w:szCs w:val="32"/>
        </w:rPr>
      </w:pPr>
    </w:p>
    <w:p w14:paraId="30D5374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8535B"/>
    <w:rsid w:val="2BF8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basedOn w:val="1"/>
    <w:uiPriority w:val="0"/>
    <w:pPr>
      <w:spacing w:before="0" w:after="140" w:line="276" w:lineRule="auto"/>
    </w:pPr>
  </w:style>
  <w:style w:type="paragraph" w:styleId="4">
    <w:name w:val="Normal (Web)"/>
    <w:basedOn w:val="1"/>
    <w:unhideWhenUsed/>
    <w:qFormat/>
    <w:uiPriority w:val="99"/>
    <w:pPr>
      <w:keepNext w:val="0"/>
      <w:keepLines w:val="0"/>
      <w:widowControl w:val="0"/>
      <w:suppressLineNumbers w:val="0"/>
      <w:spacing w:before="100" w:beforeAutospacing="1" w:after="100" w:afterAutospacing="1" w:line="240" w:lineRule="auto"/>
      <w:ind w:left="0" w:right="0" w:firstLine="0"/>
      <w:jc w:val="left"/>
    </w:pPr>
    <w:rPr>
      <w:rFonts w:hint="default" w:ascii="Calibri" w:hAnsi="Calibri" w:eastAsia="宋体" w:cs="Calibr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2026-01-07T09:28:00Z</dcterms:created>
  <dc:creator>信息安全头等舱</dc:creator>
  <cp:lastModifiedBy>信息安全头等舱</cp:lastModifiedBy>
  <dcterms:modified xsi:type="dcterms:W3CDTF">2026-01-07T09:28:56Z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32BF10E905AD459DB7E066105AA371F5_11</vt:lpwstr>
  </property>
  <property fmtid="{D5CDD505-2E9C-101B-9397-08002B2CF9AE}" pid="4" name="KSOTemplateDocerSaveRecord">
    <vt:lpwstr>eyJoZGlkIjoiYjdiOWIwODAzNGE0YzE3MjdiNGEyYzgxY2Q2YzExNmIiLCJ1c2VySWQiOiIxNjgyNTIxNTI5In0=</vt:lpwstr>
  </property>
</Properties>
</file>