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36C82">
      <w:pPr>
        <w:keepNext w:val="0"/>
        <w:keepLines w:val="0"/>
        <w:pageBreakBefore w:val="0"/>
        <w:widowControl w:val="0"/>
        <w:kinsoku/>
        <w:wordWrap/>
        <w:overflowPunct/>
        <w:topLinePunct w:val="0"/>
        <w:autoSpaceDE/>
        <w:autoSpaceDN/>
        <w:bidi w:val="0"/>
        <w:adjustRightInd w:val="0"/>
        <w:snapToGrid w:val="0"/>
        <w:spacing w:after="0" w:line="560" w:lineRule="exact"/>
        <w:ind w:left="0" w:firstLine="0" w:firstLineChars="0"/>
        <w:jc w:val="both"/>
        <w:textAlignment w:val="auto"/>
        <w:rPr>
          <w:rFonts w:hint="eastAsia" w:ascii="黑体" w:hAnsi="黑体" w:eastAsia="黑体" w:cs="仿宋_GB2312"/>
          <w:color w:val="auto"/>
          <w:w w:val="98"/>
          <w:sz w:val="32"/>
          <w:szCs w:val="32"/>
          <w:highlight w:val="none"/>
        </w:rPr>
      </w:pPr>
      <w:r>
        <w:rPr>
          <w:rFonts w:hint="eastAsia" w:ascii="黑体" w:hAnsi="黑体" w:eastAsia="黑体" w:cs="仿宋_GB2312"/>
          <w:color w:val="auto"/>
          <w:w w:val="98"/>
          <w:sz w:val="32"/>
          <w:szCs w:val="32"/>
          <w:highlight w:val="none"/>
        </w:rPr>
        <w:t>附件</w:t>
      </w:r>
    </w:p>
    <w:p w14:paraId="62B880B4">
      <w:pPr>
        <w:keepNext w:val="0"/>
        <w:keepLines w:val="0"/>
        <w:pageBreakBefore w:val="0"/>
        <w:widowControl w:val="0"/>
        <w:kinsoku/>
        <w:wordWrap/>
        <w:overflowPunct/>
        <w:topLinePunct w:val="0"/>
        <w:autoSpaceDE/>
        <w:autoSpaceDN/>
        <w:bidi w:val="0"/>
        <w:adjustRightInd w:val="0"/>
        <w:snapToGrid w:val="0"/>
        <w:spacing w:after="0" w:line="560" w:lineRule="exact"/>
        <w:ind w:left="0" w:firstLine="0" w:firstLineChars="0"/>
        <w:jc w:val="center"/>
        <w:textAlignment w:val="auto"/>
        <w:rPr>
          <w:rFonts w:hint="eastAsia" w:ascii="方正小标宋简体" w:hAnsi="方正小标宋简体" w:eastAsia="方正小标宋简体" w:cs="方正小标宋简体"/>
          <w:color w:val="auto"/>
          <w:w w:val="98"/>
          <w:sz w:val="44"/>
          <w:szCs w:val="44"/>
          <w:highlight w:val="none"/>
          <w:lang w:eastAsia="zh-CN"/>
        </w:rPr>
      </w:pPr>
    </w:p>
    <w:p w14:paraId="37214116">
      <w:pPr>
        <w:keepNext w:val="0"/>
        <w:keepLines w:val="0"/>
        <w:pageBreakBefore w:val="0"/>
        <w:widowControl w:val="0"/>
        <w:kinsoku/>
        <w:wordWrap/>
        <w:overflowPunct/>
        <w:topLinePunct w:val="0"/>
        <w:autoSpaceDE/>
        <w:autoSpaceDN/>
        <w:bidi w:val="0"/>
        <w:adjustRightInd w:val="0"/>
        <w:snapToGrid w:val="0"/>
        <w:spacing w:after="0" w:line="560" w:lineRule="exact"/>
        <w:ind w:left="0" w:firstLine="0" w:firstLineChars="0"/>
        <w:jc w:val="center"/>
        <w:textAlignment w:val="auto"/>
        <w:rPr>
          <w:rFonts w:hint="eastAsia" w:ascii="方正小标宋简体" w:hAnsi="方正小标宋简体" w:eastAsia="方正小标宋简体" w:cs="方正小标宋简体"/>
          <w:color w:val="auto"/>
          <w:w w:val="98"/>
          <w:sz w:val="44"/>
          <w:szCs w:val="44"/>
          <w:highlight w:val="none"/>
          <w:lang w:eastAsia="zh-CN"/>
        </w:rPr>
      </w:pPr>
      <w:r>
        <w:rPr>
          <w:rFonts w:hint="eastAsia" w:ascii="方正小标宋简体" w:hAnsi="方正小标宋简体" w:eastAsia="方正小标宋简体" w:cs="方正小标宋简体"/>
          <w:color w:val="auto"/>
          <w:w w:val="98"/>
          <w:sz w:val="44"/>
          <w:szCs w:val="44"/>
          <w:highlight w:val="none"/>
          <w:lang w:eastAsia="zh-CN"/>
        </w:rPr>
        <w:t>自治区医药机构医保定点资源</w:t>
      </w:r>
    </w:p>
    <w:p w14:paraId="6AE4DEB4">
      <w:pPr>
        <w:keepNext w:val="0"/>
        <w:keepLines w:val="0"/>
        <w:pageBreakBefore w:val="0"/>
        <w:widowControl w:val="0"/>
        <w:kinsoku/>
        <w:wordWrap/>
        <w:overflowPunct/>
        <w:topLinePunct w:val="0"/>
        <w:autoSpaceDE/>
        <w:autoSpaceDN/>
        <w:bidi w:val="0"/>
        <w:adjustRightInd w:val="0"/>
        <w:snapToGrid w:val="0"/>
        <w:spacing w:after="0" w:line="560" w:lineRule="exact"/>
        <w:ind w:left="0" w:firstLine="0" w:firstLineChars="0"/>
        <w:jc w:val="center"/>
        <w:textAlignment w:val="auto"/>
        <w:rPr>
          <w:rFonts w:hint="eastAsia" w:ascii="方正小标宋简体" w:hAnsi="方正小标宋简体" w:eastAsia="方正小标宋简体" w:cs="方正小标宋简体"/>
          <w:color w:val="auto"/>
          <w:w w:val="98"/>
          <w:sz w:val="44"/>
          <w:szCs w:val="44"/>
          <w:highlight w:val="none"/>
          <w:lang w:eastAsia="zh-CN"/>
        </w:rPr>
      </w:pPr>
      <w:r>
        <w:rPr>
          <w:rFonts w:hint="eastAsia" w:ascii="方正小标宋简体" w:hAnsi="方正小标宋简体" w:eastAsia="方正小标宋简体" w:cs="方正小标宋简体"/>
          <w:color w:val="auto"/>
          <w:w w:val="98"/>
          <w:sz w:val="44"/>
          <w:szCs w:val="44"/>
          <w:highlight w:val="none"/>
          <w:lang w:eastAsia="zh-CN"/>
        </w:rPr>
        <w:t>配置测算指引</w:t>
      </w:r>
    </w:p>
    <w:p w14:paraId="153F1C0B">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Times New Roman" w:hAnsi="Times New Roman" w:eastAsia="黑体" w:cs="宋体"/>
          <w:bCs/>
          <w:color w:val="auto"/>
          <w:kern w:val="0"/>
          <w:sz w:val="32"/>
          <w:szCs w:val="32"/>
          <w:highlight w:val="none"/>
          <w:shd w:val="clear" w:color="auto" w:fill="auto"/>
          <w:lang w:val="en-US" w:eastAsia="zh-CN" w:bidi="ar-SA"/>
        </w:rPr>
      </w:pPr>
    </w:p>
    <w:p w14:paraId="76921DB0">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default" w:ascii="Times New Roman" w:hAnsi="Times New Roman" w:eastAsia="黑体" w:cs="宋体"/>
          <w:color w:val="auto"/>
          <w:kern w:val="0"/>
          <w:sz w:val="32"/>
          <w:szCs w:val="32"/>
          <w:highlight w:val="none"/>
          <w:shd w:val="clear" w:color="auto" w:fill="auto"/>
          <w:lang w:val="en-US" w:eastAsia="zh-CN" w:bidi="ar-SA"/>
        </w:rPr>
      </w:pPr>
      <w:r>
        <w:rPr>
          <w:rFonts w:hint="eastAsia" w:ascii="Times New Roman" w:hAnsi="Times New Roman" w:eastAsia="黑体" w:cs="宋体"/>
          <w:bCs/>
          <w:color w:val="auto"/>
          <w:kern w:val="0"/>
          <w:sz w:val="32"/>
          <w:szCs w:val="32"/>
          <w:highlight w:val="none"/>
          <w:shd w:val="clear" w:color="auto" w:fill="auto"/>
          <w:lang w:val="en-US" w:eastAsia="zh-CN" w:bidi="ar-SA"/>
        </w:rPr>
        <w:t>一、配置要求</w:t>
      </w:r>
    </w:p>
    <w:p w14:paraId="6CEAFD33">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楷体_GB2312" w:hAnsi="楷体_GB2312" w:eastAsia="楷体_GB2312" w:cs="楷体_GB2312"/>
          <w:color w:val="auto"/>
          <w:w w:val="98"/>
          <w:sz w:val="10"/>
          <w:szCs w:val="10"/>
          <w:highlight w:val="none"/>
        </w:rPr>
      </w:pPr>
      <w:r>
        <w:rPr>
          <w:rFonts w:hint="eastAsia" w:eastAsia="仿宋_GB2312" w:cs="宋体"/>
          <w:color w:val="auto"/>
          <w:kern w:val="0"/>
          <w:sz w:val="32"/>
          <w:szCs w:val="32"/>
          <w:highlight w:val="none"/>
          <w:shd w:val="clear" w:color="auto" w:fill="auto"/>
          <w:lang w:val="en-US" w:eastAsia="zh-CN" w:bidi="ar-SA"/>
        </w:rPr>
        <w:t>各地级</w:t>
      </w:r>
      <w:r>
        <w:rPr>
          <w:rFonts w:hint="eastAsia" w:ascii="Times New Roman" w:hAnsi="Times New Roman" w:eastAsia="仿宋_GB2312" w:cs="宋体"/>
          <w:color w:val="auto"/>
          <w:kern w:val="0"/>
          <w:sz w:val="32"/>
          <w:szCs w:val="32"/>
          <w:highlight w:val="none"/>
          <w:shd w:val="clear" w:color="auto" w:fill="auto"/>
          <w:lang w:val="en-US" w:eastAsia="zh-CN" w:bidi="ar-SA"/>
        </w:rPr>
        <w:t>市遵循把握总量、动态调整、城乡差异化原则择优定点。配置方案一般按照基础资源配置计划数与实际服务量资源配置数确定并持续进行定性定量综合评估。各地级市应综合考虑服务覆盖、服务能力、管理能力以及实际服务量等多个维度，以确保医药机构资源配置的合理性和有效性。</w:t>
      </w:r>
    </w:p>
    <w:p w14:paraId="2B615E8A">
      <w:pPr>
        <w:keepNext w:val="0"/>
        <w:keepLines w:val="0"/>
        <w:pageBreakBefore w:val="0"/>
        <w:widowControl w:val="0"/>
        <w:kinsoku/>
        <w:wordWrap/>
        <w:overflowPunct/>
        <w:topLinePunct w:val="0"/>
        <w:autoSpaceDE/>
        <w:autoSpaceDN/>
        <w:bidi w:val="0"/>
        <w:adjustRightInd w:val="0"/>
        <w:snapToGrid w:val="0"/>
        <w:spacing w:after="0" w:line="560" w:lineRule="exact"/>
        <w:ind w:left="0" w:firstLine="626" w:firstLineChars="200"/>
        <w:jc w:val="both"/>
        <w:textAlignment w:val="auto"/>
        <w:rPr>
          <w:rFonts w:hint="eastAsia" w:ascii="黑体" w:hAnsi="黑体" w:eastAsia="黑体" w:cs="黑体"/>
          <w:color w:val="auto"/>
          <w:w w:val="98"/>
          <w:sz w:val="32"/>
          <w:szCs w:val="32"/>
          <w:highlight w:val="none"/>
        </w:rPr>
      </w:pPr>
      <w:r>
        <w:rPr>
          <w:rFonts w:hint="eastAsia" w:ascii="黑体" w:hAnsi="黑体" w:eastAsia="黑体" w:cs="黑体"/>
          <w:color w:val="auto"/>
          <w:w w:val="98"/>
          <w:sz w:val="32"/>
          <w:szCs w:val="32"/>
          <w:highlight w:val="none"/>
          <w:lang w:eastAsia="zh-CN"/>
        </w:rPr>
        <w:t>二</w:t>
      </w:r>
      <w:r>
        <w:rPr>
          <w:rFonts w:hint="eastAsia" w:ascii="黑体" w:hAnsi="黑体" w:eastAsia="黑体" w:cs="黑体"/>
          <w:color w:val="auto"/>
          <w:w w:val="98"/>
          <w:sz w:val="32"/>
          <w:szCs w:val="32"/>
          <w:highlight w:val="none"/>
        </w:rPr>
        <w:t>、</w:t>
      </w:r>
      <w:r>
        <w:rPr>
          <w:rFonts w:hint="eastAsia" w:ascii="黑体" w:hAnsi="黑体" w:eastAsia="黑体" w:cs="黑体"/>
          <w:color w:val="auto"/>
          <w:w w:val="98"/>
          <w:sz w:val="32"/>
          <w:szCs w:val="32"/>
          <w:highlight w:val="none"/>
          <w:lang w:eastAsia="zh-CN"/>
        </w:rPr>
        <w:t>配置</w:t>
      </w:r>
      <w:r>
        <w:rPr>
          <w:rFonts w:hint="eastAsia" w:ascii="黑体" w:hAnsi="黑体" w:eastAsia="黑体" w:cs="黑体"/>
          <w:color w:val="auto"/>
          <w:w w:val="98"/>
          <w:sz w:val="32"/>
          <w:szCs w:val="32"/>
          <w:highlight w:val="none"/>
        </w:rPr>
        <w:t>分类</w:t>
      </w:r>
    </w:p>
    <w:p w14:paraId="6FB75557">
      <w:pPr>
        <w:keepNext w:val="0"/>
        <w:keepLines w:val="0"/>
        <w:pageBreakBefore w:val="0"/>
        <w:widowControl w:val="0"/>
        <w:kinsoku/>
        <w:wordWrap/>
        <w:overflowPunct/>
        <w:topLinePunct w:val="0"/>
        <w:autoSpaceDE/>
        <w:autoSpaceDN/>
        <w:bidi w:val="0"/>
        <w:adjustRightInd w:val="0"/>
        <w:snapToGrid w:val="0"/>
        <w:spacing w:after="0" w:line="560" w:lineRule="exact"/>
        <w:ind w:left="0" w:firstLine="626" w:firstLineChars="200"/>
        <w:jc w:val="both"/>
        <w:textAlignment w:val="auto"/>
        <w:rPr>
          <w:rFonts w:hint="eastAsia" w:ascii="楷体_GB2312" w:hAnsi="楷体_GB2312" w:eastAsia="楷体_GB2312" w:cs="楷体_GB2312"/>
          <w:color w:val="auto"/>
          <w:w w:val="98"/>
          <w:sz w:val="32"/>
          <w:szCs w:val="32"/>
          <w:highlight w:val="none"/>
          <w:lang w:eastAsia="zh-CN"/>
        </w:rPr>
      </w:pPr>
      <w:r>
        <w:rPr>
          <w:rFonts w:hint="eastAsia" w:ascii="楷体_GB2312" w:hAnsi="楷体_GB2312" w:eastAsia="楷体_GB2312" w:cs="楷体_GB2312"/>
          <w:color w:val="auto"/>
          <w:w w:val="98"/>
          <w:sz w:val="32"/>
          <w:szCs w:val="32"/>
          <w:highlight w:val="none"/>
        </w:rPr>
        <w:t>（一）定点</w:t>
      </w:r>
      <w:r>
        <w:rPr>
          <w:rFonts w:hint="eastAsia" w:ascii="楷体_GB2312" w:hAnsi="楷体_GB2312" w:eastAsia="楷体_GB2312" w:cs="楷体_GB2312"/>
          <w:color w:val="auto"/>
          <w:w w:val="98"/>
          <w:sz w:val="32"/>
          <w:szCs w:val="32"/>
          <w:highlight w:val="none"/>
          <w:lang w:eastAsia="zh-CN"/>
        </w:rPr>
        <w:t>医疗</w:t>
      </w:r>
      <w:r>
        <w:rPr>
          <w:rFonts w:hint="eastAsia" w:ascii="楷体_GB2312" w:hAnsi="楷体_GB2312" w:eastAsia="楷体_GB2312" w:cs="楷体_GB2312"/>
          <w:color w:val="auto"/>
          <w:w w:val="98"/>
          <w:sz w:val="32"/>
          <w:szCs w:val="32"/>
          <w:highlight w:val="none"/>
        </w:rPr>
        <w:t>机构分类</w:t>
      </w:r>
      <w:r>
        <w:rPr>
          <w:rFonts w:hint="eastAsia" w:ascii="楷体_GB2312" w:hAnsi="楷体_GB2312" w:eastAsia="楷体_GB2312" w:cs="楷体_GB2312"/>
          <w:color w:val="auto"/>
          <w:w w:val="98"/>
          <w:sz w:val="32"/>
          <w:szCs w:val="32"/>
          <w:highlight w:val="none"/>
          <w:lang w:eastAsia="zh-CN"/>
        </w:rPr>
        <w:t>。</w:t>
      </w:r>
    </w:p>
    <w:p w14:paraId="57F255CD">
      <w:pPr>
        <w:keepNext w:val="0"/>
        <w:keepLines w:val="0"/>
        <w:pageBreakBefore w:val="0"/>
        <w:widowControl w:val="0"/>
        <w:kinsoku/>
        <w:wordWrap/>
        <w:overflowPunct/>
        <w:topLinePunct w:val="0"/>
        <w:autoSpaceDE/>
        <w:autoSpaceDN/>
        <w:bidi w:val="0"/>
        <w:adjustRightInd w:val="0"/>
        <w:snapToGrid w:val="0"/>
        <w:spacing w:after="0" w:line="560" w:lineRule="exact"/>
        <w:ind w:left="0" w:firstLine="626" w:firstLineChars="200"/>
        <w:jc w:val="both"/>
        <w:textAlignment w:val="auto"/>
        <w:rPr>
          <w:rFonts w:hint="eastAsia" w:ascii="仿宋_GB2312" w:hAnsi="仿宋_GB2312" w:eastAsia="仿宋_GB2312" w:cs="仿宋_GB2312"/>
          <w:color w:val="auto"/>
          <w:w w:val="98"/>
          <w:sz w:val="32"/>
          <w:szCs w:val="32"/>
          <w:highlight w:val="none"/>
        </w:rPr>
      </w:pPr>
      <w:r>
        <w:rPr>
          <w:rFonts w:hint="eastAsia" w:ascii="仿宋_GB2312" w:hAnsi="仿宋_GB2312" w:eastAsia="仿宋_GB2312" w:cs="仿宋_GB2312"/>
          <w:color w:val="auto"/>
          <w:w w:val="98"/>
          <w:sz w:val="32"/>
          <w:szCs w:val="32"/>
          <w:highlight w:val="none"/>
        </w:rPr>
        <w:t>医保</w:t>
      </w:r>
      <w:r>
        <w:rPr>
          <w:rFonts w:hint="eastAsia" w:ascii="仿宋_GB2312" w:hAnsi="仿宋_GB2312" w:eastAsia="仿宋_GB2312" w:cs="仿宋_GB2312"/>
          <w:color w:val="auto"/>
          <w:w w:val="98"/>
          <w:sz w:val="32"/>
          <w:szCs w:val="32"/>
          <w:highlight w:val="none"/>
          <w:lang w:eastAsia="zh-CN"/>
        </w:rPr>
        <w:t>定点医药机构</w:t>
      </w:r>
      <w:r>
        <w:rPr>
          <w:rFonts w:hint="eastAsia" w:ascii="仿宋_GB2312" w:hAnsi="仿宋_GB2312" w:eastAsia="仿宋_GB2312" w:cs="仿宋_GB2312"/>
          <w:color w:val="auto"/>
          <w:w w:val="98"/>
          <w:sz w:val="32"/>
          <w:szCs w:val="32"/>
          <w:highlight w:val="none"/>
        </w:rPr>
        <w:t>分住院</w:t>
      </w:r>
      <w:r>
        <w:rPr>
          <w:rFonts w:hint="eastAsia" w:ascii="仿宋_GB2312" w:hAnsi="仿宋_GB2312" w:eastAsia="仿宋_GB2312" w:cs="仿宋_GB2312"/>
          <w:color w:val="auto"/>
          <w:w w:val="98"/>
          <w:sz w:val="32"/>
          <w:szCs w:val="32"/>
          <w:highlight w:val="none"/>
          <w:lang w:eastAsia="zh-CN"/>
        </w:rPr>
        <w:t>定点医疗机构</w:t>
      </w:r>
      <w:r>
        <w:rPr>
          <w:rFonts w:hint="eastAsia" w:ascii="仿宋_GB2312" w:hAnsi="仿宋_GB2312" w:eastAsia="仿宋_GB2312" w:cs="仿宋_GB2312"/>
          <w:color w:val="auto"/>
          <w:w w:val="98"/>
          <w:sz w:val="32"/>
          <w:szCs w:val="32"/>
          <w:highlight w:val="none"/>
        </w:rPr>
        <w:t>、</w:t>
      </w:r>
      <w:r>
        <w:rPr>
          <w:rFonts w:hint="eastAsia" w:ascii="仿宋_GB2312" w:hAnsi="仿宋_GB2312" w:eastAsia="仿宋_GB2312" w:cs="仿宋_GB2312"/>
          <w:color w:val="auto"/>
          <w:w w:val="98"/>
          <w:sz w:val="32"/>
          <w:szCs w:val="32"/>
          <w:highlight w:val="none"/>
          <w:lang w:eastAsia="zh-CN"/>
        </w:rPr>
        <w:t>非住院定点</w:t>
      </w:r>
      <w:r>
        <w:rPr>
          <w:rFonts w:hint="eastAsia" w:ascii="仿宋_GB2312" w:hAnsi="仿宋_GB2312" w:eastAsia="仿宋_GB2312" w:cs="仿宋_GB2312"/>
          <w:color w:val="auto"/>
          <w:w w:val="98"/>
          <w:sz w:val="32"/>
          <w:szCs w:val="32"/>
          <w:highlight w:val="none"/>
        </w:rPr>
        <w:t>医疗机构、</w:t>
      </w:r>
      <w:r>
        <w:rPr>
          <w:rFonts w:hint="eastAsia" w:ascii="仿宋_GB2312" w:hAnsi="仿宋_GB2312" w:eastAsia="仿宋_GB2312" w:cs="仿宋_GB2312"/>
          <w:color w:val="auto"/>
          <w:w w:val="98"/>
          <w:sz w:val="32"/>
          <w:szCs w:val="32"/>
          <w:highlight w:val="none"/>
          <w:lang w:eastAsia="zh-CN"/>
        </w:rPr>
        <w:t>医疗救助定点医疗机构、“双通道”定点医疗机构四</w:t>
      </w:r>
      <w:r>
        <w:rPr>
          <w:rFonts w:hint="eastAsia" w:ascii="仿宋_GB2312" w:hAnsi="仿宋_GB2312" w:eastAsia="仿宋_GB2312" w:cs="仿宋_GB2312"/>
          <w:color w:val="auto"/>
          <w:w w:val="98"/>
          <w:sz w:val="32"/>
          <w:szCs w:val="32"/>
          <w:highlight w:val="none"/>
        </w:rPr>
        <w:t>类进行资源配置。</w:t>
      </w:r>
    </w:p>
    <w:p w14:paraId="0793593D">
      <w:pPr>
        <w:keepNext w:val="0"/>
        <w:keepLines w:val="0"/>
        <w:pageBreakBefore w:val="0"/>
        <w:widowControl w:val="0"/>
        <w:kinsoku/>
        <w:wordWrap/>
        <w:overflowPunct/>
        <w:topLinePunct w:val="0"/>
        <w:autoSpaceDE/>
        <w:autoSpaceDN/>
        <w:bidi w:val="0"/>
        <w:adjustRightInd w:val="0"/>
        <w:snapToGrid w:val="0"/>
        <w:spacing w:after="0" w:line="560" w:lineRule="exact"/>
        <w:ind w:left="0" w:firstLine="626" w:firstLineChars="200"/>
        <w:jc w:val="both"/>
        <w:textAlignment w:val="auto"/>
        <w:rPr>
          <w:rFonts w:hint="eastAsia" w:ascii="仿宋_GB2312" w:hAnsi="仿宋_GB2312" w:eastAsia="仿宋_GB2312" w:cs="仿宋_GB2312"/>
          <w:color w:val="auto"/>
          <w:w w:val="98"/>
          <w:sz w:val="32"/>
          <w:szCs w:val="32"/>
          <w:highlight w:val="none"/>
        </w:rPr>
      </w:pPr>
      <w:r>
        <w:rPr>
          <w:rFonts w:hint="eastAsia" w:ascii="仿宋_GB2312" w:hAnsi="仿宋_GB2312" w:eastAsia="仿宋_GB2312" w:cs="仿宋_GB2312"/>
          <w:color w:val="auto"/>
          <w:w w:val="98"/>
          <w:sz w:val="32"/>
          <w:szCs w:val="32"/>
          <w:highlight w:val="none"/>
        </w:rPr>
        <w:t>住院</w:t>
      </w:r>
      <w:r>
        <w:rPr>
          <w:rFonts w:hint="eastAsia" w:ascii="仿宋_GB2312" w:hAnsi="仿宋_GB2312" w:eastAsia="仿宋_GB2312" w:cs="仿宋_GB2312"/>
          <w:color w:val="auto"/>
          <w:w w:val="98"/>
          <w:sz w:val="32"/>
          <w:szCs w:val="32"/>
          <w:highlight w:val="none"/>
          <w:lang w:eastAsia="zh-CN"/>
        </w:rPr>
        <w:t>定点医疗机构指有住院功能的医疗机构；非住院定点</w:t>
      </w:r>
      <w:r>
        <w:rPr>
          <w:rFonts w:hint="eastAsia" w:ascii="仿宋_GB2312" w:hAnsi="仿宋_GB2312" w:eastAsia="仿宋_GB2312" w:cs="仿宋_GB2312"/>
          <w:color w:val="auto"/>
          <w:w w:val="98"/>
          <w:sz w:val="32"/>
          <w:szCs w:val="32"/>
          <w:highlight w:val="none"/>
        </w:rPr>
        <w:t>医疗机构主要指社区卫生服务站（村卫生室）、机构内设医务室、门诊部、诊所等</w:t>
      </w:r>
      <w:r>
        <w:rPr>
          <w:rFonts w:hint="eastAsia" w:ascii="仿宋_GB2312" w:hAnsi="仿宋_GB2312" w:eastAsia="仿宋_GB2312" w:cs="仿宋_GB2312"/>
          <w:color w:val="auto"/>
          <w:sz w:val="32"/>
          <w:szCs w:val="32"/>
          <w:highlight w:val="none"/>
          <w:lang w:val="en-US" w:eastAsia="zh-CN"/>
        </w:rPr>
        <w:t>不含有住院功能的医疗机构；医疗救助定点医疗机构主要指为医疗救助对象服务的定点医疗机构；</w:t>
      </w:r>
      <w:r>
        <w:rPr>
          <w:rFonts w:hint="eastAsia" w:ascii="仿宋_GB2312" w:hAnsi="仿宋_GB2312" w:eastAsia="仿宋_GB2312" w:cs="仿宋_GB2312"/>
          <w:color w:val="auto"/>
          <w:w w:val="98"/>
          <w:sz w:val="32"/>
          <w:szCs w:val="32"/>
          <w:highlight w:val="none"/>
          <w:lang w:eastAsia="zh-CN"/>
        </w:rPr>
        <w:t>“双通道”定点医疗机构主要指提供“双通道”保障和处方流转服务的医疗机构</w:t>
      </w:r>
      <w:r>
        <w:rPr>
          <w:rFonts w:hint="eastAsia" w:ascii="仿宋_GB2312" w:hAnsi="仿宋_GB2312" w:eastAsia="仿宋_GB2312" w:cs="仿宋_GB2312"/>
          <w:color w:val="auto"/>
          <w:w w:val="98"/>
          <w:sz w:val="32"/>
          <w:szCs w:val="32"/>
          <w:highlight w:val="none"/>
        </w:rPr>
        <w:t>。</w:t>
      </w:r>
    </w:p>
    <w:p w14:paraId="007F4F19">
      <w:pPr>
        <w:pStyle w:val="3"/>
        <w:keepNext w:val="0"/>
        <w:keepLines w:val="0"/>
        <w:pageBreakBefore w:val="0"/>
        <w:widowControl w:val="0"/>
        <w:kinsoku/>
        <w:wordWrap/>
        <w:overflowPunct/>
        <w:topLinePunct w:val="0"/>
        <w:autoSpaceDE/>
        <w:autoSpaceDN/>
        <w:bidi w:val="0"/>
        <w:snapToGrid w:val="0"/>
        <w:spacing w:line="560" w:lineRule="exact"/>
        <w:jc w:val="both"/>
        <w:textAlignment w:val="auto"/>
        <w:rPr>
          <w:rFonts w:hint="eastAsia" w:ascii="楷体_GB2312" w:hAnsi="楷体_GB2312" w:eastAsia="楷体_GB2312" w:cs="楷体_GB2312"/>
          <w:color w:val="auto"/>
          <w:w w:val="98"/>
          <w:sz w:val="32"/>
          <w:szCs w:val="32"/>
          <w:highlight w:val="none"/>
          <w:lang w:eastAsia="zh-CN"/>
        </w:rPr>
      </w:pPr>
      <w:r>
        <w:rPr>
          <w:rFonts w:hint="eastAsia" w:ascii="楷体_GB2312" w:hAnsi="楷体_GB2312" w:eastAsia="楷体_GB2312" w:cs="楷体_GB2312"/>
          <w:color w:val="auto"/>
          <w:w w:val="98"/>
          <w:sz w:val="32"/>
          <w:szCs w:val="32"/>
          <w:highlight w:val="none"/>
          <w:lang w:eastAsia="zh-CN"/>
        </w:rPr>
        <w:t>（二）定点零售药店分类。</w:t>
      </w:r>
    </w:p>
    <w:p w14:paraId="467A3F4A">
      <w:pPr>
        <w:pStyle w:val="3"/>
        <w:keepNext w:val="0"/>
        <w:keepLines w:val="0"/>
        <w:pageBreakBefore w:val="0"/>
        <w:widowControl w:val="0"/>
        <w:kinsoku/>
        <w:wordWrap/>
        <w:overflowPunct/>
        <w:topLinePunct w:val="0"/>
        <w:autoSpaceDE/>
        <w:autoSpaceDN/>
        <w:bidi w:val="0"/>
        <w:snapToGrid w:val="0"/>
        <w:spacing w:line="560" w:lineRule="exact"/>
        <w:jc w:val="both"/>
        <w:textAlignment w:val="auto"/>
        <w:rPr>
          <w:rFonts w:hint="eastAsia" w:ascii="仿宋_GB2312" w:hAnsi="仿宋_GB2312" w:eastAsia="仿宋_GB2312" w:cs="仿宋_GB2312"/>
          <w:color w:val="auto"/>
          <w:w w:val="98"/>
          <w:sz w:val="32"/>
          <w:szCs w:val="32"/>
          <w:highlight w:val="none"/>
          <w:lang w:eastAsia="zh-CN"/>
        </w:rPr>
      </w:pPr>
      <w:r>
        <w:rPr>
          <w:rFonts w:hint="eastAsia" w:ascii="仿宋_GB2312" w:hAnsi="仿宋_GB2312" w:eastAsia="仿宋_GB2312" w:cs="仿宋_GB2312"/>
          <w:color w:val="auto"/>
          <w:w w:val="98"/>
          <w:sz w:val="32"/>
          <w:szCs w:val="32"/>
          <w:highlight w:val="none"/>
          <w:lang w:eastAsia="zh-CN"/>
        </w:rPr>
        <w:t>医保定点零售药店分医保定点零售药店、医疗救助定点零售药店和“双通道”定点零售药店。</w:t>
      </w:r>
    </w:p>
    <w:p w14:paraId="37DC60CA">
      <w:pPr>
        <w:pStyle w:val="3"/>
        <w:keepNext w:val="0"/>
        <w:keepLines w:val="0"/>
        <w:pageBreakBefore w:val="0"/>
        <w:widowControl w:val="0"/>
        <w:kinsoku/>
        <w:wordWrap/>
        <w:overflowPunct/>
        <w:topLinePunct w:val="0"/>
        <w:autoSpaceDE/>
        <w:autoSpaceDN/>
        <w:bidi w:val="0"/>
        <w:snapToGrid w:val="0"/>
        <w:spacing w:line="560" w:lineRule="exact"/>
        <w:jc w:val="both"/>
        <w:textAlignment w:val="auto"/>
        <w:rPr>
          <w:rFonts w:hint="eastAsia" w:ascii="仿宋_GB2312" w:hAnsi="仿宋_GB2312" w:eastAsia="仿宋_GB2312" w:cs="仿宋_GB2312"/>
          <w:color w:val="auto"/>
          <w:w w:val="98"/>
          <w:sz w:val="32"/>
          <w:szCs w:val="32"/>
          <w:highlight w:val="none"/>
          <w:lang w:eastAsia="zh-CN"/>
        </w:rPr>
      </w:pPr>
      <w:r>
        <w:rPr>
          <w:rFonts w:hint="eastAsia" w:ascii="仿宋_GB2312" w:hAnsi="仿宋_GB2312" w:eastAsia="仿宋_GB2312" w:cs="仿宋_GB2312"/>
          <w:color w:val="auto"/>
          <w:w w:val="98"/>
          <w:sz w:val="32"/>
          <w:szCs w:val="32"/>
          <w:highlight w:val="none"/>
          <w:lang w:eastAsia="zh-CN"/>
        </w:rPr>
        <w:t>医保定点零售药店主要指提供职工医保个人账户的定点零售药店；医疗救助定点零售药店主要指为医疗救助对象提供服务的医保定点零售药店；“双通道”定点零售药店主要指为参保患者提供“双通道”药品保障的医保定点零售药店。</w:t>
      </w:r>
    </w:p>
    <w:p w14:paraId="70E441A0">
      <w:pPr>
        <w:keepNext w:val="0"/>
        <w:keepLines w:val="0"/>
        <w:pageBreakBefore w:val="0"/>
        <w:widowControl w:val="0"/>
        <w:kinsoku/>
        <w:wordWrap/>
        <w:overflowPunct/>
        <w:topLinePunct w:val="0"/>
        <w:autoSpaceDE/>
        <w:autoSpaceDN/>
        <w:bidi w:val="0"/>
        <w:adjustRightInd w:val="0"/>
        <w:snapToGrid w:val="0"/>
        <w:spacing w:after="0" w:line="560" w:lineRule="exact"/>
        <w:ind w:left="0" w:firstLine="626" w:firstLineChars="200"/>
        <w:jc w:val="both"/>
        <w:textAlignment w:val="auto"/>
        <w:rPr>
          <w:rFonts w:hint="eastAsia" w:ascii="楷体_GB2312" w:hAnsi="楷体_GB2312" w:eastAsia="楷体_GB2312" w:cs="楷体_GB2312"/>
          <w:color w:val="auto"/>
          <w:w w:val="98"/>
          <w:sz w:val="32"/>
          <w:szCs w:val="32"/>
          <w:highlight w:val="none"/>
          <w:lang w:eastAsia="zh-CN"/>
        </w:rPr>
      </w:pPr>
      <w:r>
        <w:rPr>
          <w:rFonts w:hint="eastAsia" w:ascii="楷体_GB2312" w:hAnsi="楷体_GB2312" w:eastAsia="楷体_GB2312" w:cs="楷体_GB2312"/>
          <w:color w:val="auto"/>
          <w:w w:val="98"/>
          <w:sz w:val="32"/>
          <w:szCs w:val="32"/>
          <w:highlight w:val="none"/>
        </w:rPr>
        <w:t>（</w:t>
      </w:r>
      <w:r>
        <w:rPr>
          <w:rFonts w:hint="eastAsia" w:ascii="楷体_GB2312" w:hAnsi="楷体_GB2312" w:eastAsia="楷体_GB2312" w:cs="楷体_GB2312"/>
          <w:color w:val="auto"/>
          <w:w w:val="98"/>
          <w:sz w:val="32"/>
          <w:szCs w:val="32"/>
          <w:highlight w:val="none"/>
          <w:lang w:eastAsia="zh-CN"/>
        </w:rPr>
        <w:t>三</w:t>
      </w:r>
      <w:r>
        <w:rPr>
          <w:rFonts w:hint="eastAsia" w:ascii="楷体_GB2312" w:hAnsi="楷体_GB2312" w:eastAsia="楷体_GB2312" w:cs="楷体_GB2312"/>
          <w:color w:val="auto"/>
          <w:w w:val="98"/>
          <w:sz w:val="32"/>
          <w:szCs w:val="32"/>
          <w:highlight w:val="none"/>
        </w:rPr>
        <w:t>）数量分类</w:t>
      </w:r>
      <w:r>
        <w:rPr>
          <w:rFonts w:hint="eastAsia" w:ascii="楷体_GB2312" w:hAnsi="楷体_GB2312" w:eastAsia="楷体_GB2312" w:cs="楷体_GB2312"/>
          <w:color w:val="auto"/>
          <w:w w:val="98"/>
          <w:sz w:val="32"/>
          <w:szCs w:val="32"/>
          <w:highlight w:val="none"/>
          <w:lang w:eastAsia="zh-CN"/>
        </w:rPr>
        <w:t>。</w:t>
      </w:r>
    </w:p>
    <w:p w14:paraId="34AA3A3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规划数量包括规划期内的规划总量和年度计划量。</w:t>
      </w:r>
    </w:p>
    <w:p w14:paraId="2462DB7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规划总量指到规划期末（2027年末）的预期规划量，年度计划量指根据规划总量、当期实有数量和相应配置规则确定的年度可新增数量。</w:t>
      </w:r>
    </w:p>
    <w:p w14:paraId="6F8B4FA8">
      <w:pPr>
        <w:keepNext w:val="0"/>
        <w:keepLines w:val="0"/>
        <w:pageBreakBefore w:val="0"/>
        <w:widowControl w:val="0"/>
        <w:kinsoku/>
        <w:wordWrap/>
        <w:overflowPunct/>
        <w:topLinePunct w:val="0"/>
        <w:autoSpaceDE/>
        <w:autoSpaceDN/>
        <w:bidi w:val="0"/>
        <w:adjustRightInd w:val="0"/>
        <w:snapToGrid w:val="0"/>
        <w:spacing w:after="0" w:line="560" w:lineRule="exact"/>
        <w:ind w:left="0" w:firstLine="626" w:firstLineChars="200"/>
        <w:jc w:val="both"/>
        <w:textAlignment w:val="auto"/>
        <w:rPr>
          <w:rFonts w:hint="eastAsia" w:ascii="黑体" w:hAnsi="黑体" w:eastAsia="黑体" w:cs="黑体"/>
          <w:color w:val="auto"/>
          <w:w w:val="98"/>
          <w:sz w:val="32"/>
          <w:szCs w:val="32"/>
          <w:highlight w:val="none"/>
        </w:rPr>
      </w:pPr>
      <w:r>
        <w:rPr>
          <w:rFonts w:hint="eastAsia" w:ascii="黑体" w:hAnsi="黑体" w:eastAsia="黑体" w:cs="黑体"/>
          <w:color w:val="auto"/>
          <w:w w:val="98"/>
          <w:sz w:val="32"/>
          <w:szCs w:val="32"/>
          <w:highlight w:val="none"/>
          <w:lang w:eastAsia="zh-CN"/>
        </w:rPr>
        <w:t>三</w:t>
      </w:r>
      <w:r>
        <w:rPr>
          <w:rFonts w:hint="eastAsia" w:ascii="黑体" w:hAnsi="黑体" w:eastAsia="黑体" w:cs="黑体"/>
          <w:color w:val="auto"/>
          <w:w w:val="98"/>
          <w:sz w:val="32"/>
          <w:szCs w:val="32"/>
          <w:highlight w:val="none"/>
        </w:rPr>
        <w:t>、总量配置规则</w:t>
      </w:r>
    </w:p>
    <w:p w14:paraId="61A999D3">
      <w:pPr>
        <w:keepNext w:val="0"/>
        <w:keepLines w:val="0"/>
        <w:pageBreakBefore w:val="0"/>
        <w:widowControl w:val="0"/>
        <w:kinsoku/>
        <w:wordWrap/>
        <w:overflowPunct/>
        <w:topLinePunct w:val="0"/>
        <w:autoSpaceDE/>
        <w:autoSpaceDN/>
        <w:bidi w:val="0"/>
        <w:adjustRightInd w:val="0"/>
        <w:snapToGrid w:val="0"/>
        <w:spacing w:after="0" w:line="560" w:lineRule="exact"/>
        <w:ind w:left="0" w:firstLine="626" w:firstLineChars="200"/>
        <w:jc w:val="both"/>
        <w:textAlignment w:val="auto"/>
        <w:rPr>
          <w:rFonts w:hint="eastAsia" w:ascii="楷体_GB2312" w:hAnsi="楷体_GB2312" w:eastAsia="楷体_GB2312" w:cs="楷体_GB2312"/>
          <w:color w:val="auto"/>
          <w:w w:val="98"/>
          <w:sz w:val="32"/>
          <w:szCs w:val="32"/>
          <w:highlight w:val="none"/>
          <w:lang w:eastAsia="zh-CN"/>
        </w:rPr>
      </w:pPr>
      <w:r>
        <w:rPr>
          <w:rFonts w:hint="eastAsia" w:ascii="楷体_GB2312" w:hAnsi="楷体_GB2312" w:eastAsia="楷体_GB2312" w:cs="楷体_GB2312"/>
          <w:color w:val="auto"/>
          <w:w w:val="98"/>
          <w:sz w:val="32"/>
          <w:szCs w:val="32"/>
          <w:highlight w:val="none"/>
        </w:rPr>
        <w:t>（一）</w:t>
      </w:r>
      <w:r>
        <w:rPr>
          <w:rFonts w:hint="eastAsia" w:ascii="楷体_GB2312" w:hAnsi="楷体_GB2312" w:eastAsia="楷体_GB2312" w:cs="楷体_GB2312"/>
          <w:color w:val="auto"/>
          <w:w w:val="98"/>
          <w:sz w:val="32"/>
          <w:szCs w:val="32"/>
          <w:highlight w:val="none"/>
          <w:lang w:eastAsia="zh-CN"/>
        </w:rPr>
        <w:t>基本</w:t>
      </w:r>
      <w:r>
        <w:rPr>
          <w:rFonts w:hint="eastAsia" w:ascii="楷体_GB2312" w:hAnsi="楷体_GB2312" w:eastAsia="楷体_GB2312" w:cs="楷体_GB2312"/>
          <w:color w:val="auto"/>
          <w:w w:val="98"/>
          <w:sz w:val="32"/>
          <w:szCs w:val="32"/>
          <w:highlight w:val="none"/>
        </w:rPr>
        <w:t>医保</w:t>
      </w:r>
      <w:r>
        <w:rPr>
          <w:rFonts w:hint="eastAsia" w:ascii="楷体_GB2312" w:hAnsi="楷体_GB2312" w:eastAsia="楷体_GB2312" w:cs="楷体_GB2312"/>
          <w:color w:val="auto"/>
          <w:w w:val="98"/>
          <w:sz w:val="32"/>
          <w:szCs w:val="32"/>
          <w:highlight w:val="none"/>
          <w:lang w:eastAsia="zh-CN"/>
        </w:rPr>
        <w:t>定点</w:t>
      </w:r>
      <w:r>
        <w:rPr>
          <w:rFonts w:hint="eastAsia" w:ascii="楷体_GB2312" w:hAnsi="楷体_GB2312" w:eastAsia="楷体_GB2312" w:cs="楷体_GB2312"/>
          <w:color w:val="auto"/>
          <w:w w:val="98"/>
          <w:sz w:val="32"/>
          <w:szCs w:val="32"/>
          <w:highlight w:val="none"/>
        </w:rPr>
        <w:t>床</w:t>
      </w:r>
      <w:r>
        <w:rPr>
          <w:rFonts w:hint="eastAsia" w:ascii="楷体_GB2312" w:hAnsi="楷体_GB2312" w:eastAsia="楷体_GB2312" w:cs="楷体_GB2312"/>
          <w:color w:val="auto"/>
          <w:w w:val="98"/>
          <w:sz w:val="32"/>
          <w:szCs w:val="32"/>
          <w:highlight w:val="none"/>
          <w:lang w:eastAsia="zh-CN"/>
        </w:rPr>
        <w:t>数配置。</w:t>
      </w:r>
    </w:p>
    <w:p w14:paraId="4D43E192">
      <w:pPr>
        <w:keepNext w:val="0"/>
        <w:keepLines w:val="0"/>
        <w:pageBreakBefore w:val="0"/>
        <w:widowControl w:val="0"/>
        <w:kinsoku/>
        <w:wordWrap/>
        <w:overflowPunct/>
        <w:topLinePunct w:val="0"/>
        <w:autoSpaceDE/>
        <w:autoSpaceDN/>
        <w:bidi w:val="0"/>
        <w:adjustRightInd w:val="0"/>
        <w:snapToGrid w:val="0"/>
        <w:spacing w:after="0" w:line="560" w:lineRule="exact"/>
        <w:ind w:left="0" w:firstLine="626" w:firstLineChars="200"/>
        <w:jc w:val="both"/>
        <w:textAlignment w:val="auto"/>
        <w:rPr>
          <w:rFonts w:hint="eastAsia" w:ascii="仿宋_GB2312" w:hAnsi="仿宋_GB2312" w:eastAsia="仿宋_GB2312" w:cs="仿宋_GB2312"/>
          <w:color w:val="auto"/>
          <w:w w:val="98"/>
          <w:sz w:val="32"/>
          <w:szCs w:val="32"/>
          <w:highlight w:val="none"/>
        </w:rPr>
      </w:pPr>
      <w:r>
        <w:rPr>
          <w:rFonts w:hint="eastAsia" w:ascii="仿宋_GB2312" w:hAnsi="仿宋_GB2312" w:eastAsia="仿宋_GB2312" w:cs="仿宋_GB2312"/>
          <w:color w:val="auto"/>
          <w:w w:val="98"/>
          <w:sz w:val="32"/>
          <w:szCs w:val="32"/>
          <w:highlight w:val="none"/>
        </w:rPr>
        <w:t>千人床位数是衡量医疗资源的主要指标，定点医疗机构资源配置管理以千人床位数为基准，通过床位数匹配医务人员、医疗设备设施、检查检验等资源。</w:t>
      </w:r>
    </w:p>
    <w:p w14:paraId="0ABC84D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right="0" w:firstLine="626" w:firstLineChars="20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需要的千人床位数=[∑（各年龄段住院率×年龄段参保人数）×平均住院日×1000/（病床使用率×365×总参保人数）]×患者调节系数×基金调节系数</w:t>
      </w:r>
    </w:p>
    <w:p w14:paraId="3FCF63B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right="0" w:firstLine="626" w:firstLineChars="20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年龄段参保人数：按照规划编制时上一年年龄段平均参保人数确定。</w:t>
      </w:r>
    </w:p>
    <w:p w14:paraId="20094C3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right="0" w:firstLine="626" w:firstLineChars="20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总参保人数：按照规划编制时上一年平均总参保人数，并参考前三年参保人数增长比例确定。</w:t>
      </w:r>
    </w:p>
    <w:p w14:paraId="0A56138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right="0" w:firstLine="626" w:firstLineChars="20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患者调节系数=（本地参保人在本地出院人次-本地参保人在异地出院人次+异地参保人在本地出院人次）/本地参保人在本地出院人次</w:t>
      </w:r>
    </w:p>
    <w:p w14:paraId="15539D4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right="0" w:firstLine="626" w:firstLineChars="20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基金调节系数：基金调节系数视本市职工医保统筹基金和居民医保统筹基金累计结余情况确定。</w:t>
      </w:r>
    </w:p>
    <w:p w14:paraId="11114D8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right="0" w:firstLine="626" w:firstLineChars="20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eastAsia="zh-CN" w:bidi="ar-SA"/>
        </w:rPr>
        <w:t>区域</w:t>
      </w: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住院床位数规划值=需要的千人床位数×全市参保人数/1000</w:t>
      </w:r>
    </w:p>
    <w:p w14:paraId="5FC715CB">
      <w:pPr>
        <w:keepNext w:val="0"/>
        <w:keepLines w:val="0"/>
        <w:pageBreakBefore w:val="0"/>
        <w:widowControl w:val="0"/>
        <w:kinsoku/>
        <w:wordWrap/>
        <w:overflowPunct/>
        <w:topLinePunct w:val="0"/>
        <w:autoSpaceDE/>
        <w:autoSpaceDN/>
        <w:bidi w:val="0"/>
        <w:adjustRightInd w:val="0"/>
        <w:snapToGrid w:val="0"/>
        <w:spacing w:after="0" w:line="560" w:lineRule="exact"/>
        <w:ind w:left="0" w:firstLine="626" w:firstLineChars="200"/>
        <w:jc w:val="both"/>
        <w:textAlignment w:val="auto"/>
        <w:rPr>
          <w:rFonts w:hint="eastAsia" w:ascii="楷体_GB2312" w:hAnsi="楷体_GB2312" w:eastAsia="楷体_GB2312" w:cs="楷体_GB2312"/>
          <w:color w:val="auto"/>
          <w:w w:val="98"/>
          <w:sz w:val="32"/>
          <w:szCs w:val="32"/>
          <w:highlight w:val="none"/>
          <w:lang w:eastAsia="zh-CN"/>
        </w:rPr>
      </w:pPr>
      <w:bookmarkStart w:id="0" w:name="_Hlk199257274"/>
      <w:r>
        <w:rPr>
          <w:rFonts w:hint="eastAsia" w:ascii="楷体_GB2312" w:hAnsi="楷体_GB2312" w:eastAsia="楷体_GB2312" w:cs="楷体_GB2312"/>
          <w:color w:val="auto"/>
          <w:w w:val="98"/>
          <w:sz w:val="32"/>
          <w:szCs w:val="32"/>
          <w:highlight w:val="none"/>
        </w:rPr>
        <w:t>（二）</w:t>
      </w:r>
      <w:r>
        <w:rPr>
          <w:rFonts w:hint="eastAsia" w:ascii="楷体_GB2312" w:hAnsi="楷体_GB2312" w:eastAsia="楷体_GB2312" w:cs="楷体_GB2312"/>
          <w:color w:val="auto"/>
          <w:w w:val="98"/>
          <w:sz w:val="32"/>
          <w:szCs w:val="32"/>
          <w:highlight w:val="none"/>
          <w:lang w:eastAsia="zh-CN"/>
        </w:rPr>
        <w:t>非住院</w:t>
      </w:r>
      <w:r>
        <w:rPr>
          <w:rFonts w:hint="eastAsia" w:ascii="楷体_GB2312" w:hAnsi="楷体_GB2312" w:eastAsia="楷体_GB2312" w:cs="楷体_GB2312"/>
          <w:color w:val="auto"/>
          <w:w w:val="98"/>
          <w:sz w:val="32"/>
          <w:szCs w:val="32"/>
          <w:highlight w:val="none"/>
        </w:rPr>
        <w:t>定点医疗机构</w:t>
      </w:r>
      <w:r>
        <w:rPr>
          <w:rFonts w:hint="eastAsia" w:ascii="楷体_GB2312" w:hAnsi="楷体_GB2312" w:eastAsia="楷体_GB2312" w:cs="楷体_GB2312"/>
          <w:color w:val="auto"/>
          <w:w w:val="98"/>
          <w:sz w:val="32"/>
          <w:szCs w:val="32"/>
          <w:highlight w:val="none"/>
          <w:lang w:eastAsia="zh-CN"/>
        </w:rPr>
        <w:t>数</w:t>
      </w:r>
      <w:r>
        <w:rPr>
          <w:rFonts w:hint="eastAsia" w:ascii="楷体_GB2312" w:hAnsi="楷体_GB2312" w:eastAsia="楷体_GB2312" w:cs="楷体_GB2312"/>
          <w:color w:val="auto"/>
          <w:w w:val="98"/>
          <w:sz w:val="32"/>
          <w:szCs w:val="32"/>
          <w:highlight w:val="none"/>
        </w:rPr>
        <w:t>量</w:t>
      </w:r>
      <w:r>
        <w:rPr>
          <w:rFonts w:hint="eastAsia" w:ascii="楷体_GB2312" w:hAnsi="楷体_GB2312" w:eastAsia="楷体_GB2312" w:cs="楷体_GB2312"/>
          <w:color w:val="auto"/>
          <w:w w:val="98"/>
          <w:sz w:val="32"/>
          <w:szCs w:val="32"/>
          <w:highlight w:val="none"/>
          <w:lang w:eastAsia="zh-CN"/>
        </w:rPr>
        <w:t>配置。</w:t>
      </w:r>
    </w:p>
    <w:bookmarkEnd w:id="0"/>
    <w:p w14:paraId="0130844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eastAsia="zh-CN" w:bidi="ar-SA"/>
        </w:rPr>
        <w:t>　非住院</w:t>
      </w: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医疗机构规划总量的设置，基于合理布局、方便群众原则，综合考虑全市常住人口分布、异地就医情况、实际服务人数情况等因素确定。</w:t>
      </w:r>
    </w:p>
    <w:p w14:paraId="22F31E9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right="0" w:firstLine="626" w:firstLineChars="20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eastAsia="zh-CN" w:bidi="ar-SA"/>
        </w:rPr>
        <w:t>非住院</w:t>
      </w: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定点医疗机构总量=（参保人数+异地参保人在本地门诊就医人数）/平均服务人数</w:t>
      </w:r>
    </w:p>
    <w:p w14:paraId="5CEEDBE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right="0" w:firstLine="626" w:firstLineChars="20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参保人数：按照规划编制时上一年平均参保人数并参考前三年参保人数增长比例确定。</w:t>
      </w:r>
    </w:p>
    <w:p w14:paraId="5D5F149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right="0" w:firstLine="626" w:firstLineChars="20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平均服务人数：结合</w:t>
      </w:r>
      <w:r>
        <w:rPr>
          <w:rFonts w:hint="eastAsia" w:ascii="仿宋_GB2312" w:hAnsi="仿宋_GB2312" w:eastAsia="仿宋_GB2312" w:cs="仿宋_GB2312"/>
          <w:i w:val="0"/>
          <w:caps w:val="0"/>
          <w:color w:val="auto"/>
          <w:spacing w:val="0"/>
          <w:w w:val="98"/>
          <w:kern w:val="2"/>
          <w:sz w:val="32"/>
          <w:szCs w:val="32"/>
          <w:highlight w:val="none"/>
          <w:shd w:val="clear" w:color="auto" w:fill="auto"/>
          <w:lang w:eastAsia="zh-CN" w:bidi="ar-SA"/>
        </w:rPr>
        <w:t>本</w:t>
      </w: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市门诊类医疗机构本地和异地参保人员平均服务人数历史数据，平均服务人数按</w:t>
      </w:r>
      <w:r>
        <w:rPr>
          <w:rFonts w:hint="eastAsia" w:ascii="仿宋_GB2312" w:hAnsi="仿宋_GB2312" w:eastAsia="仿宋_GB2312" w:cs="仿宋_GB2312"/>
          <w:i w:val="0"/>
          <w:caps w:val="0"/>
          <w:color w:val="auto"/>
          <w:spacing w:val="0"/>
          <w:w w:val="98"/>
          <w:kern w:val="2"/>
          <w:sz w:val="32"/>
          <w:szCs w:val="32"/>
          <w:highlight w:val="none"/>
          <w:shd w:val="clear" w:color="auto" w:fill="auto"/>
          <w:lang w:eastAsia="zh-CN" w:bidi="ar-SA"/>
        </w:rPr>
        <w:t>*</w:t>
      </w: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人确定。</w:t>
      </w:r>
    </w:p>
    <w:p w14:paraId="3A3F9BC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eastAsia="zh-CN" w:bidi="ar-SA"/>
        </w:rPr>
        <w:t>　</w:t>
      </w: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区域</w:t>
      </w:r>
      <w:r>
        <w:rPr>
          <w:rFonts w:hint="eastAsia" w:ascii="仿宋_GB2312" w:hAnsi="仿宋_GB2312" w:eastAsia="仿宋_GB2312" w:cs="仿宋_GB2312"/>
          <w:i w:val="0"/>
          <w:caps w:val="0"/>
          <w:color w:val="auto"/>
          <w:spacing w:val="0"/>
          <w:w w:val="98"/>
          <w:kern w:val="2"/>
          <w:sz w:val="32"/>
          <w:szCs w:val="32"/>
          <w:highlight w:val="none"/>
          <w:shd w:val="clear" w:color="auto" w:fill="auto"/>
          <w:lang w:eastAsia="zh-CN" w:bidi="ar-SA"/>
        </w:rPr>
        <w:t>非住院</w:t>
      </w: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定点医疗机构总量=全市门诊类定点医疗机构总量×区域分配系数</w:t>
      </w:r>
      <w:r>
        <w:rPr>
          <w:rFonts w:hint="eastAsia" w:ascii="仿宋_GB2312" w:hAnsi="仿宋_GB2312" w:eastAsia="仿宋_GB2312" w:cs="仿宋_GB2312"/>
          <w:i w:val="0"/>
          <w:caps w:val="0"/>
          <w:color w:val="auto"/>
          <w:spacing w:val="0"/>
          <w:w w:val="98"/>
          <w:kern w:val="2"/>
          <w:sz w:val="32"/>
          <w:szCs w:val="32"/>
          <w:highlight w:val="none"/>
          <w:shd w:val="clear" w:color="auto" w:fill="auto"/>
          <w:lang w:eastAsia="zh-CN" w:bidi="ar-SA"/>
        </w:rPr>
        <w:t>。</w:t>
      </w:r>
    </w:p>
    <w:p w14:paraId="709F9A8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eastAsia="zh-CN" w:bidi="ar-SA"/>
        </w:rPr>
        <w:t>　</w:t>
      </w: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区域分配系数=区域参保人数/全市参保人数</w:t>
      </w:r>
      <w:r>
        <w:rPr>
          <w:rFonts w:hint="eastAsia" w:ascii="仿宋_GB2312" w:hAnsi="仿宋_GB2312" w:eastAsia="仿宋_GB2312" w:cs="仿宋_GB2312"/>
          <w:i w:val="0"/>
          <w:caps w:val="0"/>
          <w:color w:val="auto"/>
          <w:spacing w:val="0"/>
          <w:w w:val="98"/>
          <w:kern w:val="2"/>
          <w:sz w:val="32"/>
          <w:szCs w:val="32"/>
          <w:highlight w:val="none"/>
          <w:shd w:val="clear" w:color="auto" w:fill="auto"/>
          <w:lang w:eastAsia="zh-CN" w:bidi="ar-SA"/>
        </w:rPr>
        <w:t>。</w:t>
      </w:r>
    </w:p>
    <w:p w14:paraId="11A1C88E">
      <w:pPr>
        <w:keepNext w:val="0"/>
        <w:keepLines w:val="0"/>
        <w:pageBreakBefore w:val="0"/>
        <w:widowControl w:val="0"/>
        <w:kinsoku/>
        <w:wordWrap/>
        <w:overflowPunct/>
        <w:topLinePunct w:val="0"/>
        <w:autoSpaceDE/>
        <w:autoSpaceDN/>
        <w:bidi w:val="0"/>
        <w:adjustRightInd w:val="0"/>
        <w:snapToGrid w:val="0"/>
        <w:spacing w:after="0" w:line="560" w:lineRule="exact"/>
        <w:ind w:left="0" w:firstLine="626" w:firstLineChars="200"/>
        <w:jc w:val="both"/>
        <w:textAlignment w:val="auto"/>
        <w:rPr>
          <w:rFonts w:hint="eastAsia" w:ascii="楷体_GB2312" w:hAnsi="楷体_GB2312" w:eastAsia="楷体_GB2312" w:cs="楷体_GB2312"/>
          <w:color w:val="auto"/>
          <w:w w:val="98"/>
          <w:sz w:val="32"/>
          <w:szCs w:val="32"/>
          <w:highlight w:val="none"/>
          <w:lang w:eastAsia="zh-CN"/>
        </w:rPr>
      </w:pPr>
      <w:r>
        <w:rPr>
          <w:rFonts w:hint="eastAsia" w:ascii="楷体_GB2312" w:hAnsi="楷体_GB2312" w:eastAsia="楷体_GB2312" w:cs="楷体_GB2312"/>
          <w:color w:val="auto"/>
          <w:w w:val="98"/>
          <w:sz w:val="32"/>
          <w:szCs w:val="32"/>
          <w:highlight w:val="none"/>
        </w:rPr>
        <w:t>（三）区域</w:t>
      </w:r>
      <w:r>
        <w:rPr>
          <w:rFonts w:hint="eastAsia" w:ascii="楷体_GB2312" w:hAnsi="楷体_GB2312" w:eastAsia="楷体_GB2312" w:cs="楷体_GB2312"/>
          <w:color w:val="auto"/>
          <w:w w:val="98"/>
          <w:sz w:val="32"/>
          <w:szCs w:val="32"/>
          <w:highlight w:val="none"/>
          <w:lang w:eastAsia="zh-CN"/>
        </w:rPr>
        <w:t>定点</w:t>
      </w:r>
      <w:r>
        <w:rPr>
          <w:rFonts w:hint="eastAsia" w:ascii="楷体_GB2312" w:hAnsi="楷体_GB2312" w:eastAsia="楷体_GB2312" w:cs="楷体_GB2312"/>
          <w:color w:val="auto"/>
          <w:w w:val="98"/>
          <w:sz w:val="32"/>
          <w:szCs w:val="32"/>
          <w:highlight w:val="none"/>
        </w:rPr>
        <w:t>零售药店</w:t>
      </w:r>
      <w:r>
        <w:rPr>
          <w:rFonts w:hint="eastAsia" w:ascii="楷体_GB2312" w:hAnsi="楷体_GB2312" w:eastAsia="楷体_GB2312" w:cs="楷体_GB2312"/>
          <w:color w:val="auto"/>
          <w:w w:val="98"/>
          <w:sz w:val="32"/>
          <w:szCs w:val="32"/>
          <w:highlight w:val="none"/>
          <w:lang w:eastAsia="zh-CN"/>
        </w:rPr>
        <w:t>数</w:t>
      </w:r>
      <w:r>
        <w:rPr>
          <w:rFonts w:hint="eastAsia" w:ascii="楷体_GB2312" w:hAnsi="楷体_GB2312" w:eastAsia="楷体_GB2312" w:cs="楷体_GB2312"/>
          <w:color w:val="auto"/>
          <w:w w:val="98"/>
          <w:sz w:val="32"/>
          <w:szCs w:val="32"/>
          <w:highlight w:val="none"/>
        </w:rPr>
        <w:t>量</w:t>
      </w:r>
      <w:r>
        <w:rPr>
          <w:rFonts w:hint="eastAsia" w:ascii="楷体_GB2312" w:hAnsi="楷体_GB2312" w:eastAsia="楷体_GB2312" w:cs="楷体_GB2312"/>
          <w:color w:val="auto"/>
          <w:w w:val="98"/>
          <w:sz w:val="32"/>
          <w:szCs w:val="32"/>
          <w:highlight w:val="none"/>
          <w:lang w:eastAsia="zh-CN"/>
        </w:rPr>
        <w:t>配置。</w:t>
      </w:r>
    </w:p>
    <w:p w14:paraId="49C8893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eastAsia="zh-CN" w:bidi="ar-SA"/>
        </w:rPr>
        <w:t>　全市</w:t>
      </w: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定点零售药店规划总量参照“15分钟医保服务圈”要求，设置服务半径为800米，同时考虑到各城区人员密度，以区域每万人可用面积与全市每万人可用面积比较，人员密度大，即区域每万人可用面积小于全市每万人可用面积的，以半径800米面积范围内纳入3家定点零售药店规划；其他县（</w:t>
      </w:r>
      <w:r>
        <w:rPr>
          <w:rFonts w:hint="eastAsia" w:ascii="仿宋_GB2312" w:hAnsi="仿宋_GB2312" w:eastAsia="仿宋_GB2312" w:cs="仿宋_GB2312"/>
          <w:i w:val="0"/>
          <w:caps w:val="0"/>
          <w:color w:val="auto"/>
          <w:spacing w:val="0"/>
          <w:w w:val="98"/>
          <w:kern w:val="2"/>
          <w:sz w:val="32"/>
          <w:szCs w:val="32"/>
          <w:highlight w:val="none"/>
          <w:shd w:val="clear" w:color="auto" w:fill="auto"/>
          <w:lang w:eastAsia="zh-CN" w:bidi="ar-SA"/>
        </w:rPr>
        <w:t>市</w:t>
      </w: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w:t>
      </w:r>
      <w:r>
        <w:rPr>
          <w:rFonts w:hint="eastAsia" w:ascii="仿宋_GB2312" w:hAnsi="仿宋_GB2312" w:eastAsia="仿宋_GB2312" w:cs="仿宋_GB2312"/>
          <w:i w:val="0"/>
          <w:caps w:val="0"/>
          <w:color w:val="auto"/>
          <w:spacing w:val="0"/>
          <w:w w:val="98"/>
          <w:kern w:val="2"/>
          <w:sz w:val="32"/>
          <w:szCs w:val="32"/>
          <w:highlight w:val="none"/>
          <w:shd w:val="clear" w:color="auto" w:fill="auto"/>
          <w:lang w:eastAsia="zh-CN" w:bidi="ar-SA"/>
        </w:rPr>
        <w:t>区</w:t>
      </w: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）人员密度相对较小，区域每万人可用面积大于全市每万人可用面积，以半径800米面积范围内纳入2家定点零售药店规划。</w:t>
      </w:r>
    </w:p>
    <w:p w14:paraId="425DDA2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26" w:firstLineChars="20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eastAsia="zh-CN" w:bidi="ar-SA"/>
        </w:rPr>
        <w:t>全市</w:t>
      </w: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定点药店总量为各区域定点药店数量之和。</w:t>
      </w:r>
    </w:p>
    <w:p w14:paraId="5A95685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26" w:firstLineChars="20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区域定点药店总量=∑（区域可用土地面积/服务覆盖范围×纳入数量）</w:t>
      </w:r>
      <w:r>
        <w:rPr>
          <w:rFonts w:hint="eastAsia" w:ascii="仿宋_GB2312" w:hAnsi="仿宋_GB2312" w:eastAsia="仿宋_GB2312" w:cs="仿宋_GB2312"/>
          <w:i w:val="0"/>
          <w:caps w:val="0"/>
          <w:color w:val="auto"/>
          <w:spacing w:val="0"/>
          <w:w w:val="98"/>
          <w:kern w:val="2"/>
          <w:sz w:val="32"/>
          <w:szCs w:val="32"/>
          <w:highlight w:val="none"/>
          <w:shd w:val="clear" w:color="auto" w:fill="auto"/>
          <w:lang w:eastAsia="zh-CN" w:bidi="ar-SA"/>
        </w:rPr>
        <w:t>。</w:t>
      </w:r>
    </w:p>
    <w:p w14:paraId="54CBFA7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26" w:firstLineChars="20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区域每万人可用面积=区域可用土地面积/区域参保人数×10000</w:t>
      </w:r>
      <w:r>
        <w:rPr>
          <w:rFonts w:hint="eastAsia" w:ascii="仿宋_GB2312" w:hAnsi="仿宋_GB2312" w:eastAsia="仿宋_GB2312" w:cs="仿宋_GB2312"/>
          <w:i w:val="0"/>
          <w:caps w:val="0"/>
          <w:color w:val="auto"/>
          <w:spacing w:val="0"/>
          <w:w w:val="98"/>
          <w:kern w:val="2"/>
          <w:sz w:val="32"/>
          <w:szCs w:val="32"/>
          <w:highlight w:val="none"/>
          <w:shd w:val="clear" w:color="auto" w:fill="auto"/>
          <w:lang w:eastAsia="zh-CN" w:bidi="ar-SA"/>
        </w:rPr>
        <w:t>。</w:t>
      </w:r>
    </w:p>
    <w:p w14:paraId="70FB55E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720" w:lineRule="exact"/>
        <w:ind w:left="0" w:right="0" w:firstLine="626" w:firstLineChars="20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eastAsia="zh-CN" w:bidi="ar-SA"/>
        </w:rPr>
        <w:t>全市</w:t>
      </w: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每万人可用面积=全市可用土地面积/全市参保人数×10000</w:t>
      </w:r>
      <w:r>
        <w:rPr>
          <w:rFonts w:hint="eastAsia" w:ascii="仿宋_GB2312" w:hAnsi="仿宋_GB2312" w:eastAsia="仿宋_GB2312" w:cs="仿宋_GB2312"/>
          <w:i w:val="0"/>
          <w:caps w:val="0"/>
          <w:color w:val="auto"/>
          <w:spacing w:val="0"/>
          <w:w w:val="98"/>
          <w:kern w:val="2"/>
          <w:sz w:val="32"/>
          <w:szCs w:val="32"/>
          <w:highlight w:val="none"/>
          <w:shd w:val="clear" w:color="auto" w:fill="auto"/>
          <w:lang w:eastAsia="zh-CN" w:bidi="ar-SA"/>
        </w:rPr>
        <w:t>。</w:t>
      </w:r>
    </w:p>
    <w:p w14:paraId="4886CF78">
      <w:pPr>
        <w:keepNext w:val="0"/>
        <w:keepLines w:val="0"/>
        <w:pageBreakBefore w:val="0"/>
        <w:widowControl w:val="0"/>
        <w:suppressLineNumbers w:val="0"/>
        <w:kinsoku/>
        <w:wordWrap/>
        <w:overflowPunct/>
        <w:topLinePunct w:val="0"/>
        <w:autoSpaceDE/>
        <w:autoSpaceDN/>
        <w:bidi w:val="0"/>
        <w:adjustRightInd/>
        <w:snapToGrid w:val="0"/>
        <w:spacing w:line="720" w:lineRule="exact"/>
        <w:ind w:firstLine="626" w:firstLineChars="200"/>
        <w:jc w:val="both"/>
        <w:textAlignment w:val="auto"/>
        <w:rPr>
          <w:color w:val="auto"/>
          <w:highlight w:val="none"/>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val="en-US" w:eastAsia="zh-CN" w:bidi="ar-SA"/>
        </w:rPr>
        <w:t>服务覆盖范围（正六边形）=</w:t>
      </w:r>
      <w:r>
        <w:rPr>
          <w:color w:val="auto"/>
          <w:highlight w:val="none"/>
        </w:rPr>
        <w:drawing>
          <wp:inline distT="0" distB="0" distL="114300" distR="114300">
            <wp:extent cx="419100" cy="409575"/>
            <wp:effectExtent l="0" t="0" r="0" b="9525"/>
            <wp:docPr id="1" name="图片 1" descr="0cf20f38b1b843d9a85632386ef16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f20f38b1b843d9a85632386ef16719"/>
                    <pic:cNvPicPr>
                      <a:picLocks noChangeAspect="1"/>
                    </pic:cNvPicPr>
                  </pic:nvPicPr>
                  <pic:blipFill>
                    <a:blip r:embed="rId4"/>
                    <a:stretch>
                      <a:fillRect/>
                    </a:stretch>
                  </pic:blipFill>
                  <pic:spPr>
                    <a:xfrm>
                      <a:off x="0" y="0"/>
                      <a:ext cx="419100" cy="409575"/>
                    </a:xfrm>
                    <a:prstGeom prst="rect">
                      <a:avLst/>
                    </a:prstGeom>
                    <a:noFill/>
                    <a:ln>
                      <a:noFill/>
                    </a:ln>
                  </pic:spPr>
                </pic:pic>
              </a:graphicData>
            </a:graphic>
          </wp:inline>
        </w:drawing>
      </w:r>
    </w:p>
    <w:p w14:paraId="4B1BBF7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700" w:lineRule="exact"/>
        <w:ind w:left="0" w:right="0" w:firstLine="626" w:firstLineChars="20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eastAsia="zh-CN" w:bidi="ar-SA"/>
        </w:rPr>
        <w:t>全市</w:t>
      </w: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可用土地面积：全市总面积扣除湿地、耕地、园地、林地、水域及水利设施用地后，为</w:t>
      </w:r>
      <w:r>
        <w:rPr>
          <w:rFonts w:hint="eastAsia" w:ascii="仿宋_GB2312" w:hAnsi="仿宋_GB2312" w:eastAsia="仿宋_GB2312" w:cs="仿宋_GB2312"/>
          <w:i w:val="0"/>
          <w:caps w:val="0"/>
          <w:color w:val="auto"/>
          <w:spacing w:val="0"/>
          <w:w w:val="98"/>
          <w:kern w:val="2"/>
          <w:sz w:val="32"/>
          <w:szCs w:val="32"/>
          <w:highlight w:val="none"/>
          <w:shd w:val="clear" w:color="auto" w:fill="auto"/>
          <w:lang w:eastAsia="zh-CN" w:bidi="ar-SA"/>
        </w:rPr>
        <w:t>*</w:t>
      </w: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平方公里。</w:t>
      </w:r>
    </w:p>
    <w:p w14:paraId="5489E69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26" w:firstLineChars="200"/>
        <w:jc w:val="both"/>
        <w:textAlignment w:val="auto"/>
        <w:rPr>
          <w:rFonts w:hint="eastAsia" w:ascii="仿宋_GB2312" w:hAnsi="仿宋_GB2312" w:eastAsia="仿宋_GB2312" w:cs="仿宋_GB2312"/>
          <w:i w:val="0"/>
          <w:caps w:val="0"/>
          <w:color w:val="auto"/>
          <w:spacing w:val="0"/>
          <w:w w:val="98"/>
          <w:kern w:val="2"/>
          <w:sz w:val="32"/>
          <w:szCs w:val="32"/>
          <w:highlight w:val="none"/>
          <w:lang w:bidi="ar-SA"/>
        </w:rPr>
      </w:pPr>
      <w:r>
        <w:rPr>
          <w:rFonts w:hint="eastAsia" w:ascii="仿宋_GB2312" w:hAnsi="仿宋_GB2312" w:eastAsia="仿宋_GB2312" w:cs="仿宋_GB2312"/>
          <w:i w:val="0"/>
          <w:caps w:val="0"/>
          <w:color w:val="auto"/>
          <w:spacing w:val="0"/>
          <w:w w:val="98"/>
          <w:kern w:val="2"/>
          <w:sz w:val="32"/>
          <w:szCs w:val="32"/>
          <w:highlight w:val="none"/>
          <w:shd w:val="clear" w:color="auto" w:fill="auto"/>
          <w:lang w:bidi="ar-SA"/>
        </w:rPr>
        <w:t>区域可用土地面积：区域总面积扣除湿地、耕地、园地、林地、水域及水利设施用地面积。</w:t>
      </w:r>
    </w:p>
    <w:p w14:paraId="781E0CE0">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after="0" w:line="560" w:lineRule="exact"/>
        <w:ind w:firstLine="626" w:firstLineChars="200"/>
        <w:jc w:val="both"/>
        <w:textAlignment w:val="auto"/>
        <w:rPr>
          <w:rFonts w:hint="eastAsia" w:ascii="黑体" w:hAnsi="黑体" w:eastAsia="黑体" w:cs="黑体"/>
          <w:color w:val="auto"/>
          <w:w w:val="98"/>
          <w:sz w:val="32"/>
          <w:szCs w:val="32"/>
          <w:highlight w:val="none"/>
        </w:rPr>
      </w:pPr>
      <w:r>
        <w:rPr>
          <w:rFonts w:hint="eastAsia" w:ascii="黑体" w:hAnsi="黑体" w:eastAsia="黑体" w:cs="黑体"/>
          <w:color w:val="auto"/>
          <w:w w:val="98"/>
          <w:sz w:val="32"/>
          <w:szCs w:val="32"/>
          <w:highlight w:val="none"/>
          <w:lang w:eastAsia="zh-CN"/>
        </w:rPr>
        <w:t>四、</w:t>
      </w:r>
      <w:r>
        <w:rPr>
          <w:rFonts w:hint="eastAsia" w:ascii="黑体" w:hAnsi="黑体" w:eastAsia="黑体" w:cs="黑体"/>
          <w:color w:val="auto"/>
          <w:w w:val="98"/>
          <w:sz w:val="32"/>
          <w:szCs w:val="32"/>
          <w:highlight w:val="none"/>
        </w:rPr>
        <w:t>年度计划量配置</w:t>
      </w:r>
    </w:p>
    <w:p w14:paraId="3ECB481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bidi="ar-SA"/>
        </w:rPr>
      </w:pPr>
      <w:r>
        <w:rPr>
          <w:rFonts w:hint="eastAsia" w:ascii="楷体_GB2312" w:hAnsi="楷体_GB2312" w:eastAsia="楷体_GB2312" w:cs="楷体_GB2312"/>
          <w:i w:val="0"/>
          <w:caps w:val="0"/>
          <w:color w:val="auto"/>
          <w:spacing w:val="0"/>
          <w:kern w:val="2"/>
          <w:sz w:val="32"/>
          <w:szCs w:val="32"/>
          <w:highlight w:val="none"/>
          <w:shd w:val="clear" w:color="auto" w:fill="auto"/>
          <w:lang w:bidi="ar-SA"/>
        </w:rPr>
        <w:t>（一）年度医保住院床位计划量。</w:t>
      </w:r>
    </w:p>
    <w:p w14:paraId="5B1D09F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全市年度医保住院床位计划量=（全市医保住院床位规划总量-全市医保住院床位数）×年度分配系数</w:t>
      </w:r>
    </w:p>
    <w:p w14:paraId="3417809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年度分配系数≤1，根据床位规划总量、医保住院床位数、当年符合卫生健康规划拟投用床位量等综合确定。</w:t>
      </w:r>
    </w:p>
    <w:p w14:paraId="5335034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在床位数量规划范围内，按照精神、儿童、康复顺序优先安排。同等条件下，优先考虑床位使用率高的区域。</w:t>
      </w:r>
    </w:p>
    <w:p w14:paraId="681309D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当全市医保住院床位数达到全市医保住院床位规划总量时，全市暂停编制年度计划量。</w:t>
      </w:r>
    </w:p>
    <w:p w14:paraId="6D91F17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bidi="ar-SA"/>
        </w:rPr>
      </w:pPr>
      <w:r>
        <w:rPr>
          <w:rFonts w:hint="eastAsia" w:ascii="楷体_GB2312" w:hAnsi="楷体_GB2312" w:eastAsia="楷体_GB2312" w:cs="楷体_GB2312"/>
          <w:i w:val="0"/>
          <w:caps w:val="0"/>
          <w:color w:val="auto"/>
          <w:spacing w:val="0"/>
          <w:kern w:val="2"/>
          <w:sz w:val="32"/>
          <w:szCs w:val="32"/>
          <w:highlight w:val="none"/>
          <w:shd w:val="clear" w:color="auto" w:fill="auto"/>
          <w:lang w:bidi="ar-SA"/>
        </w:rPr>
        <w:t>（二）年度</w:t>
      </w:r>
      <w:r>
        <w:rPr>
          <w:rFonts w:hint="eastAsia" w:ascii="楷体_GB2312" w:hAnsi="楷体_GB2312" w:eastAsia="楷体_GB2312" w:cs="楷体_GB2312"/>
          <w:i w:val="0"/>
          <w:caps w:val="0"/>
          <w:color w:val="auto"/>
          <w:spacing w:val="0"/>
          <w:kern w:val="2"/>
          <w:sz w:val="32"/>
          <w:szCs w:val="32"/>
          <w:highlight w:val="none"/>
          <w:shd w:val="clear" w:color="auto" w:fill="auto"/>
          <w:lang w:eastAsia="zh-CN" w:bidi="ar-SA"/>
        </w:rPr>
        <w:t>非住院</w:t>
      </w:r>
      <w:r>
        <w:rPr>
          <w:rFonts w:hint="eastAsia" w:ascii="楷体_GB2312" w:hAnsi="楷体_GB2312" w:eastAsia="楷体_GB2312" w:cs="楷体_GB2312"/>
          <w:i w:val="0"/>
          <w:caps w:val="0"/>
          <w:color w:val="auto"/>
          <w:spacing w:val="0"/>
          <w:kern w:val="2"/>
          <w:sz w:val="32"/>
          <w:szCs w:val="32"/>
          <w:highlight w:val="none"/>
          <w:shd w:val="clear" w:color="auto" w:fill="auto"/>
          <w:lang w:bidi="ar-SA"/>
        </w:rPr>
        <w:t>定点医疗机构计划量。</w:t>
      </w:r>
    </w:p>
    <w:p w14:paraId="397AE11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1.实际数量少于规划数量的区域。</w:t>
      </w:r>
    </w:p>
    <w:p w14:paraId="4EE308A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全市年度门诊类定点医疗机构计划量=（全市门诊类定点医疗机构规划总量-全市实有门诊类定点医疗机构数）×年度分配系数</w:t>
      </w:r>
    </w:p>
    <w:p w14:paraId="4120553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当</w:t>
      </w:r>
      <w:r>
        <w:rPr>
          <w:rFonts w:hint="eastAsia" w:ascii="仿宋_GB2312" w:hAnsi="仿宋_GB2312" w:eastAsia="仿宋_GB2312" w:cs="仿宋_GB2312"/>
          <w:i w:val="0"/>
          <w:caps w:val="0"/>
          <w:color w:val="auto"/>
          <w:spacing w:val="0"/>
          <w:kern w:val="2"/>
          <w:sz w:val="32"/>
          <w:szCs w:val="32"/>
          <w:highlight w:val="none"/>
          <w:shd w:val="clear" w:color="auto" w:fill="auto"/>
          <w:lang w:eastAsia="zh-CN" w:bidi="ar-SA"/>
        </w:rPr>
        <w:t>区域</w:t>
      </w:r>
      <w:r>
        <w:rPr>
          <w:rFonts w:hint="eastAsia" w:ascii="仿宋_GB2312" w:hAnsi="仿宋_GB2312" w:eastAsia="仿宋_GB2312" w:cs="仿宋_GB2312"/>
          <w:i w:val="0"/>
          <w:caps w:val="0"/>
          <w:color w:val="auto"/>
          <w:spacing w:val="0"/>
          <w:kern w:val="2"/>
          <w:sz w:val="32"/>
          <w:szCs w:val="32"/>
          <w:highlight w:val="none"/>
          <w:shd w:val="clear" w:color="auto" w:fill="auto"/>
          <w:lang w:bidi="ar-SA"/>
        </w:rPr>
        <w:t>门诊类定点医疗机构数量达到全市门诊类定点医疗机构规划总量时，全市年度门诊类定点医疗机构计划量为0。</w:t>
      </w:r>
    </w:p>
    <w:p w14:paraId="1695ADD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年度分配系数原则上≤0.5，具体根据</w:t>
      </w:r>
      <w:r>
        <w:rPr>
          <w:rFonts w:hint="eastAsia" w:ascii="仿宋_GB2312" w:hAnsi="仿宋_GB2312" w:eastAsia="仿宋_GB2312" w:cs="仿宋_GB2312"/>
          <w:i w:val="0"/>
          <w:caps w:val="0"/>
          <w:color w:val="auto"/>
          <w:spacing w:val="0"/>
          <w:kern w:val="2"/>
          <w:sz w:val="32"/>
          <w:szCs w:val="32"/>
          <w:highlight w:val="none"/>
          <w:shd w:val="clear" w:color="auto" w:fill="auto"/>
          <w:lang w:eastAsia="zh-CN" w:bidi="ar-SA"/>
        </w:rPr>
        <w:t>区域</w:t>
      </w: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实际情况确定。</w:t>
      </w:r>
    </w:p>
    <w:p w14:paraId="4EE42DD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区域内可新增量=区域内规划数量-区域内实有数量</w:t>
      </w:r>
    </w:p>
    <w:p w14:paraId="670655B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区域分配系数=区域内可新增量/所有可新增区域的增量之和</w:t>
      </w:r>
    </w:p>
    <w:p w14:paraId="132B17B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区域年度门诊类定点医疗机构计划量=</w:t>
      </w:r>
      <w:r>
        <w:rPr>
          <w:rFonts w:hint="eastAsia" w:ascii="仿宋_GB2312" w:hAnsi="仿宋_GB2312" w:eastAsia="仿宋_GB2312" w:cs="仿宋_GB2312"/>
          <w:i w:val="0"/>
          <w:caps w:val="0"/>
          <w:color w:val="auto"/>
          <w:spacing w:val="0"/>
          <w:kern w:val="2"/>
          <w:sz w:val="32"/>
          <w:szCs w:val="32"/>
          <w:highlight w:val="none"/>
          <w:shd w:val="clear" w:color="auto" w:fill="auto"/>
          <w:lang w:eastAsia="zh-CN" w:bidi="ar-SA"/>
        </w:rPr>
        <w:t>全市</w:t>
      </w: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年度门诊类定点医疗机构计划量×区域分配系数+ min{（区域内可新增量×年度分配系数-</w:t>
      </w:r>
      <w:r>
        <w:rPr>
          <w:rFonts w:hint="eastAsia" w:ascii="仿宋_GB2312" w:hAnsi="仿宋_GB2312" w:eastAsia="仿宋_GB2312" w:cs="仿宋_GB2312"/>
          <w:i w:val="0"/>
          <w:caps w:val="0"/>
          <w:color w:val="auto"/>
          <w:spacing w:val="0"/>
          <w:kern w:val="2"/>
          <w:sz w:val="32"/>
          <w:szCs w:val="32"/>
          <w:highlight w:val="none"/>
          <w:shd w:val="clear" w:color="auto" w:fill="auto"/>
          <w:lang w:eastAsia="zh-CN" w:bidi="ar-SA"/>
        </w:rPr>
        <w:t>全市</w:t>
      </w: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年度门诊类定点医疗机构计划量×区域分配系数），</w:t>
      </w:r>
      <w:r>
        <w:rPr>
          <w:rFonts w:hint="eastAsia" w:ascii="仿宋_GB2312" w:hAnsi="仿宋_GB2312" w:eastAsia="仿宋_GB2312" w:cs="仿宋_GB2312"/>
          <w:i w:val="0"/>
          <w:caps w:val="0"/>
          <w:color w:val="auto"/>
          <w:spacing w:val="0"/>
          <w:kern w:val="2"/>
          <w:sz w:val="32"/>
          <w:szCs w:val="32"/>
          <w:highlight w:val="none"/>
          <w:shd w:val="clear" w:color="auto" w:fill="auto"/>
          <w:lang w:eastAsia="zh-CN" w:bidi="ar-SA"/>
        </w:rPr>
        <w:t>全市</w:t>
      </w:r>
      <w:r>
        <w:rPr>
          <w:rFonts w:hint="eastAsia" w:ascii="仿宋_GB2312" w:hAnsi="仿宋_GB2312" w:eastAsia="仿宋_GB2312" w:cs="仿宋_GB2312"/>
          <w:i w:val="0"/>
          <w:caps w:val="0"/>
          <w:color w:val="auto"/>
          <w:spacing w:val="0"/>
          <w:kern w:val="2"/>
          <w:sz w:val="32"/>
          <w:szCs w:val="32"/>
          <w:highlight w:val="none"/>
          <w:shd w:val="clear" w:color="auto" w:fill="auto"/>
          <w:lang w:bidi="ar-SA"/>
        </w:rPr>
        <w:t>门诊类定点医疗机构退出数量/5×区域分配系数}（注：min{a,b}表示取a,b中的最小值，下同）</w:t>
      </w:r>
    </w:p>
    <w:p w14:paraId="44E57B7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2.实际数量超过或等于规划数量的区域。</w:t>
      </w:r>
    </w:p>
    <w:p w14:paraId="35A97E8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区域年度门诊类定点医疗机构计划量=区域内门诊类定点医疗机构退出数量/10，计划量按各</w:t>
      </w:r>
      <w:r>
        <w:rPr>
          <w:rFonts w:hint="eastAsia" w:ascii="仿宋_GB2312" w:hAnsi="仿宋_GB2312" w:eastAsia="仿宋_GB2312" w:cs="仿宋_GB2312"/>
          <w:i w:val="0"/>
          <w:caps w:val="0"/>
          <w:color w:val="auto"/>
          <w:spacing w:val="0"/>
          <w:kern w:val="2"/>
          <w:sz w:val="32"/>
          <w:szCs w:val="32"/>
          <w:highlight w:val="none"/>
          <w:shd w:val="clear" w:color="auto" w:fill="auto"/>
          <w:lang w:eastAsia="zh-CN" w:bidi="ar-SA"/>
        </w:rPr>
        <w:t>市</w:t>
      </w: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、县（</w:t>
      </w:r>
      <w:r>
        <w:rPr>
          <w:rFonts w:hint="eastAsia" w:ascii="仿宋_GB2312" w:hAnsi="仿宋_GB2312" w:eastAsia="仿宋_GB2312" w:cs="仿宋_GB2312"/>
          <w:i w:val="0"/>
          <w:caps w:val="0"/>
          <w:color w:val="auto"/>
          <w:spacing w:val="0"/>
          <w:kern w:val="2"/>
          <w:sz w:val="32"/>
          <w:szCs w:val="32"/>
          <w:highlight w:val="none"/>
          <w:shd w:val="clear" w:color="auto" w:fill="auto"/>
          <w:lang w:eastAsia="zh-CN" w:bidi="ar-SA"/>
        </w:rPr>
        <w:t>区</w:t>
      </w: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）分别计算。</w:t>
      </w:r>
    </w:p>
    <w:p w14:paraId="7242823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bidi="ar-SA"/>
        </w:rPr>
      </w:pPr>
      <w:r>
        <w:rPr>
          <w:rFonts w:hint="eastAsia" w:ascii="楷体_GB2312" w:hAnsi="楷体_GB2312" w:eastAsia="楷体_GB2312" w:cs="楷体_GB2312"/>
          <w:i w:val="0"/>
          <w:caps w:val="0"/>
          <w:color w:val="auto"/>
          <w:spacing w:val="0"/>
          <w:kern w:val="2"/>
          <w:sz w:val="32"/>
          <w:szCs w:val="32"/>
          <w:highlight w:val="none"/>
          <w:shd w:val="clear" w:color="auto" w:fill="auto"/>
          <w:lang w:bidi="ar-SA"/>
        </w:rPr>
        <w:t>（三）年度定点零售药店计划量。</w:t>
      </w:r>
    </w:p>
    <w:p w14:paraId="282DF31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1.实际数量少于规划数量的区域。</w:t>
      </w:r>
    </w:p>
    <w:p w14:paraId="77DFA43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eastAsia="zh-CN" w:bidi="ar-SA"/>
        </w:rPr>
        <w:t>全市</w:t>
      </w: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年度定点零售药店计划量=（</w:t>
      </w:r>
      <w:r>
        <w:rPr>
          <w:rFonts w:hint="eastAsia" w:ascii="仿宋_GB2312" w:hAnsi="仿宋_GB2312" w:eastAsia="仿宋_GB2312" w:cs="仿宋_GB2312"/>
          <w:i w:val="0"/>
          <w:caps w:val="0"/>
          <w:color w:val="auto"/>
          <w:spacing w:val="0"/>
          <w:kern w:val="2"/>
          <w:sz w:val="32"/>
          <w:szCs w:val="32"/>
          <w:highlight w:val="none"/>
          <w:shd w:val="clear" w:color="auto" w:fill="auto"/>
          <w:lang w:eastAsia="zh-CN" w:bidi="ar-SA"/>
        </w:rPr>
        <w:t>全市</w:t>
      </w: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定点零售药店规划总量-全市实有定点零售药店数）×年度分配系数</w:t>
      </w:r>
    </w:p>
    <w:p w14:paraId="6C4327D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年度分配系数原则上≤0.5，具体根据全市实际情况确定。</w:t>
      </w:r>
    </w:p>
    <w:p w14:paraId="1EC2E78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区域内可新增量=区域内规划数量-区域内实有数量</w:t>
      </w:r>
    </w:p>
    <w:p w14:paraId="0C08549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区域分配系数=区域内可新增量/所有可新增区域的增量之和</w:t>
      </w:r>
    </w:p>
    <w:p w14:paraId="46797BF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区域年度定点零售药店计划量=</w:t>
      </w:r>
      <w:r>
        <w:rPr>
          <w:rFonts w:hint="eastAsia" w:ascii="仿宋_GB2312" w:hAnsi="仿宋_GB2312" w:eastAsia="仿宋_GB2312" w:cs="仿宋_GB2312"/>
          <w:i w:val="0"/>
          <w:caps w:val="0"/>
          <w:color w:val="auto"/>
          <w:spacing w:val="0"/>
          <w:kern w:val="2"/>
          <w:sz w:val="32"/>
          <w:szCs w:val="32"/>
          <w:highlight w:val="none"/>
          <w:shd w:val="clear" w:color="auto" w:fill="auto"/>
          <w:lang w:eastAsia="zh-CN" w:bidi="ar-SA"/>
        </w:rPr>
        <w:t>全市</w:t>
      </w: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年度定点零售药店计划量×区域分配系数+ min{（区域内可新增量×年度分配系数-</w:t>
      </w:r>
      <w:r>
        <w:rPr>
          <w:rFonts w:hint="eastAsia" w:ascii="仿宋_GB2312" w:hAnsi="仿宋_GB2312" w:eastAsia="仿宋_GB2312" w:cs="仿宋_GB2312"/>
          <w:i w:val="0"/>
          <w:caps w:val="0"/>
          <w:color w:val="auto"/>
          <w:spacing w:val="0"/>
          <w:kern w:val="2"/>
          <w:sz w:val="32"/>
          <w:szCs w:val="32"/>
          <w:highlight w:val="none"/>
          <w:shd w:val="clear" w:color="auto" w:fill="auto"/>
          <w:lang w:eastAsia="zh-CN" w:bidi="ar-SA"/>
        </w:rPr>
        <w:t>全市</w:t>
      </w: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年度定点零售药店计划量×区域分配系数），</w:t>
      </w:r>
      <w:r>
        <w:rPr>
          <w:rFonts w:hint="eastAsia" w:ascii="仿宋_GB2312" w:hAnsi="仿宋_GB2312" w:eastAsia="仿宋_GB2312" w:cs="仿宋_GB2312"/>
          <w:i w:val="0"/>
          <w:caps w:val="0"/>
          <w:color w:val="auto"/>
          <w:spacing w:val="0"/>
          <w:kern w:val="2"/>
          <w:sz w:val="32"/>
          <w:szCs w:val="32"/>
          <w:highlight w:val="none"/>
          <w:shd w:val="clear" w:color="auto" w:fill="auto"/>
          <w:lang w:eastAsia="zh-CN" w:bidi="ar-SA"/>
        </w:rPr>
        <w:t>全市</w:t>
      </w: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定点零售药店退出数量/5×区域分配系数}</w:t>
      </w:r>
    </w:p>
    <w:p w14:paraId="1C14534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2.实际数量超过或等于规划数量的区域。</w:t>
      </w:r>
    </w:p>
    <w:p w14:paraId="28B6D80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区域年度定点零售药店计划量=区域内定点零售药店退出数量/10，计划量按各</w:t>
      </w:r>
      <w:r>
        <w:rPr>
          <w:rFonts w:hint="eastAsia" w:ascii="仿宋_GB2312" w:hAnsi="仿宋_GB2312" w:eastAsia="仿宋_GB2312" w:cs="仿宋_GB2312"/>
          <w:i w:val="0"/>
          <w:caps w:val="0"/>
          <w:color w:val="auto"/>
          <w:spacing w:val="0"/>
          <w:kern w:val="2"/>
          <w:sz w:val="32"/>
          <w:szCs w:val="32"/>
          <w:highlight w:val="none"/>
          <w:shd w:val="clear" w:color="auto" w:fill="auto"/>
          <w:lang w:eastAsia="zh-CN" w:bidi="ar-SA"/>
        </w:rPr>
        <w:t>市</w:t>
      </w: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、县（</w:t>
      </w:r>
      <w:r>
        <w:rPr>
          <w:rFonts w:hint="eastAsia" w:ascii="仿宋_GB2312" w:hAnsi="仿宋_GB2312" w:eastAsia="仿宋_GB2312" w:cs="仿宋_GB2312"/>
          <w:i w:val="0"/>
          <w:caps w:val="0"/>
          <w:color w:val="auto"/>
          <w:spacing w:val="0"/>
          <w:kern w:val="2"/>
          <w:sz w:val="32"/>
          <w:szCs w:val="32"/>
          <w:highlight w:val="none"/>
          <w:shd w:val="clear" w:color="auto" w:fill="auto"/>
          <w:lang w:eastAsia="zh-CN" w:bidi="ar-SA"/>
        </w:rPr>
        <w:t>区</w:t>
      </w: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）分别计算。</w:t>
      </w:r>
    </w:p>
    <w:p w14:paraId="45820A2C">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26" w:firstLineChars="200"/>
        <w:jc w:val="both"/>
        <w:textAlignment w:val="auto"/>
        <w:rPr>
          <w:rFonts w:hint="eastAsia" w:ascii="黑体" w:hAnsi="黑体" w:eastAsia="黑体" w:cs="黑体"/>
          <w:color w:val="auto"/>
          <w:w w:val="98"/>
          <w:sz w:val="32"/>
          <w:szCs w:val="32"/>
          <w:highlight w:val="none"/>
          <w:lang w:eastAsia="zh-CN"/>
        </w:rPr>
      </w:pPr>
      <w:r>
        <w:rPr>
          <w:rFonts w:hint="eastAsia" w:ascii="黑体" w:hAnsi="黑体" w:eastAsia="黑体" w:cs="黑体"/>
          <w:color w:val="auto"/>
          <w:w w:val="98"/>
          <w:sz w:val="32"/>
          <w:szCs w:val="32"/>
          <w:highlight w:val="none"/>
          <w:lang w:eastAsia="zh-CN"/>
        </w:rPr>
        <w:t>四、择优定点</w:t>
      </w:r>
    </w:p>
    <w:p w14:paraId="6F996C0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楷体_GB2312" w:hAnsi="楷体_GB2312" w:eastAsia="楷体_GB2312" w:cs="楷体_GB2312"/>
          <w:i w:val="0"/>
          <w:caps w:val="0"/>
          <w:color w:val="auto"/>
          <w:spacing w:val="0"/>
          <w:kern w:val="2"/>
          <w:sz w:val="32"/>
          <w:szCs w:val="32"/>
          <w:highlight w:val="none"/>
          <w:shd w:val="clear" w:color="auto" w:fill="auto"/>
          <w:lang w:eastAsia="zh-CN" w:bidi="ar-SA"/>
        </w:rPr>
        <w:t>（</w:t>
      </w:r>
      <w:r>
        <w:rPr>
          <w:rFonts w:hint="eastAsia" w:ascii="楷体_GB2312" w:hAnsi="楷体_GB2312" w:eastAsia="楷体_GB2312" w:cs="楷体_GB2312"/>
          <w:i w:val="0"/>
          <w:caps w:val="0"/>
          <w:color w:val="auto"/>
          <w:spacing w:val="0"/>
          <w:kern w:val="2"/>
          <w:sz w:val="32"/>
          <w:szCs w:val="32"/>
          <w:highlight w:val="none"/>
          <w:shd w:val="clear" w:color="auto" w:fill="auto"/>
          <w:lang w:bidi="ar-SA"/>
        </w:rPr>
        <w:t>一）医疗机构。</w:t>
      </w: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原则上服务半径800米范围内不设置同类型（指住院或</w:t>
      </w:r>
      <w:r>
        <w:rPr>
          <w:rFonts w:hint="eastAsia" w:ascii="仿宋_GB2312" w:hAnsi="仿宋_GB2312" w:eastAsia="仿宋_GB2312" w:cs="仿宋_GB2312"/>
          <w:i w:val="0"/>
          <w:caps w:val="0"/>
          <w:color w:val="auto"/>
          <w:spacing w:val="0"/>
          <w:kern w:val="2"/>
          <w:sz w:val="32"/>
          <w:szCs w:val="32"/>
          <w:highlight w:val="none"/>
          <w:shd w:val="clear" w:color="auto" w:fill="auto"/>
          <w:lang w:eastAsia="zh-CN" w:bidi="ar-SA"/>
        </w:rPr>
        <w:t>非住院定点</w:t>
      </w: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医疗机构）或同等级定点医疗机构。</w:t>
      </w:r>
    </w:p>
    <w:p w14:paraId="4F1F123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楷体_GB2312" w:hAnsi="楷体_GB2312" w:eastAsia="楷体_GB2312" w:cs="楷体_GB2312"/>
          <w:i w:val="0"/>
          <w:caps w:val="0"/>
          <w:color w:val="auto"/>
          <w:spacing w:val="0"/>
          <w:kern w:val="2"/>
          <w:sz w:val="32"/>
          <w:szCs w:val="32"/>
          <w:highlight w:val="none"/>
          <w:shd w:val="clear" w:color="auto" w:fill="auto"/>
          <w:lang w:bidi="ar-SA"/>
        </w:rPr>
        <w:t>（二）零售药店。</w:t>
      </w: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原则上服务半径800米范围内有三级医疗机构的，定点零售药店不超过3家；无三级医疗机构的，不超过</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1</w:t>
      </w:r>
      <w:r>
        <w:rPr>
          <w:rFonts w:hint="eastAsia" w:ascii="仿宋_GB2312" w:hAnsi="仿宋_GB2312" w:eastAsia="仿宋_GB2312" w:cs="仿宋_GB2312"/>
          <w:i w:val="0"/>
          <w:caps w:val="0"/>
          <w:color w:val="auto"/>
          <w:spacing w:val="0"/>
          <w:kern w:val="2"/>
          <w:sz w:val="32"/>
          <w:szCs w:val="32"/>
          <w:highlight w:val="none"/>
          <w:shd w:val="clear" w:color="auto" w:fill="auto"/>
          <w:lang w:bidi="ar-SA"/>
        </w:rPr>
        <w:t>家。</w:t>
      </w:r>
    </w:p>
    <w:p w14:paraId="0F238B3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shd w:val="clear" w:color="auto" w:fill="auto"/>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bidi="ar-SA"/>
        </w:rPr>
        <w:t>符合上述条件的医疗机构和零售药店，由医保部门按规定择优遴选纳入定点管理。</w:t>
      </w:r>
    </w:p>
    <w:p w14:paraId="56B6A32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eastAsia="zh-CN" w:bidi="ar-SA"/>
        </w:rPr>
        <w:t>注：测算指引中标“＊”的指标，由各地根据区域特点、人口等实际情况测算确定。</w:t>
      </w:r>
    </w:p>
    <w:p w14:paraId="1D556D72">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3332A2"/>
    <w:rsid w:val="45333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Normal Indent"/>
    <w:basedOn w:val="1"/>
    <w:qFormat/>
    <w:uiPriority w:val="0"/>
    <w:pPr>
      <w:suppressAutoHyphens/>
      <w:bidi w:val="0"/>
      <w:ind w:firstLine="420" w:firstLineChars="200"/>
    </w:pPr>
    <w:rPr>
      <w:rFonts w:ascii="Times New Roman" w:hAnsi="Times New Roman" w:cs="Times New Roman"/>
      <w:color w:val="auto"/>
      <w:szCs w:val="24"/>
    </w:rPr>
  </w:style>
  <w:style w:type="paragraph" w:styleId="4">
    <w:name w:val="Normal (Web)"/>
    <w:basedOn w:val="1"/>
    <w:qFormat/>
    <w:uiPriority w:val="0"/>
    <w:pPr>
      <w:suppressAutoHyphens/>
      <w:bidi w:val="0"/>
      <w:spacing w:before="100" w:beforeAutospacing="1" w:after="100" w:afterAutospacing="1"/>
      <w:ind w:left="0" w:right="0"/>
      <w:jc w:val="left"/>
    </w:pPr>
    <w:rPr>
      <w:rFonts w:ascii="Calibri" w:hAnsi="Calibri" w:cs="Times New Roman"/>
      <w:color w:val="auto"/>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2026-01-05T06:20:00Z</dcterms:created>
  <dc:creator>信息安全头等舱</dc:creator>
  <cp:lastModifiedBy>信息安全头等舱</cp:lastModifiedBy>
  <dcterms:modified xsi:type="dcterms:W3CDTF">2026-01-05T06:20:52Z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369B8AD410964B868A144CD40C74EDAD_11</vt:lpwstr>
  </property>
  <property fmtid="{D5CDD505-2E9C-101B-9397-08002B2CF9AE}" pid="4" name="KSOTemplateDocerSaveRecord">
    <vt:lpwstr>eyJoZGlkIjoiYjdiOWIwODAzNGE0YzE3MjdiNGEyYzgxY2Q2YzExNmIiLCJ1c2VySWQiOiIxNjgyNTIxNTI5In0=</vt:lpwstr>
  </property>
</Properties>
</file>