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80969">
      <w:pPr>
        <w:pStyle w:val="4"/>
        <w:spacing w:before="0" w:beforeAutospacing="0" w:after="0" w:afterAutospacing="0"/>
        <w:jc w:val="center"/>
        <w:rPr>
          <w:rStyle w:val="8"/>
          <w:rFonts w:hint="eastAsia"/>
          <w:color w:val="000000"/>
          <w:sz w:val="36"/>
          <w:szCs w:val="36"/>
          <w:lang w:eastAsia="zh-CN"/>
        </w:rPr>
      </w:pPr>
    </w:p>
    <w:p w14:paraId="5CF40D79">
      <w:pPr>
        <w:pStyle w:val="4"/>
        <w:spacing w:before="0" w:beforeAutospacing="0" w:after="0" w:afterAutospacing="0"/>
        <w:jc w:val="center"/>
        <w:rPr>
          <w:rStyle w:val="8"/>
          <w:rFonts w:hint="eastAsia" w:ascii="方正小标宋简体" w:hAnsi="方正小标宋简体" w:eastAsia="方正小标宋简体" w:cs="方正小标宋简体"/>
          <w:b w:val="0"/>
          <w:bCs w:val="0"/>
          <w:color w:val="000000"/>
          <w:sz w:val="44"/>
          <w:szCs w:val="44"/>
        </w:rPr>
      </w:pPr>
      <w:bookmarkStart w:id="0" w:name="_GoBack"/>
      <w:r>
        <w:rPr>
          <w:rStyle w:val="8"/>
          <w:rFonts w:hint="eastAsia" w:ascii="方正小标宋简体" w:hAnsi="方正小标宋简体" w:eastAsia="方正小标宋简体" w:cs="方正小标宋简体"/>
          <w:b w:val="0"/>
          <w:bCs w:val="0"/>
          <w:color w:val="000000"/>
          <w:sz w:val="44"/>
          <w:szCs w:val="44"/>
          <w:lang w:eastAsia="zh-CN"/>
        </w:rPr>
        <w:t>宁夏基本医疗保险国家谈判药品</w:t>
      </w:r>
      <w:r>
        <w:rPr>
          <w:rStyle w:val="8"/>
          <w:rFonts w:hint="eastAsia" w:ascii="方正小标宋简体" w:hAnsi="方正小标宋简体" w:eastAsia="方正小标宋简体" w:cs="方正小标宋简体"/>
          <w:b w:val="0"/>
          <w:bCs w:val="0"/>
          <w:color w:val="000000"/>
          <w:sz w:val="44"/>
          <w:szCs w:val="44"/>
        </w:rPr>
        <w:t>“双通道”</w:t>
      </w:r>
    </w:p>
    <w:p w14:paraId="44FA534D">
      <w:pPr>
        <w:pStyle w:val="4"/>
        <w:spacing w:before="0" w:beforeAutospacing="0" w:after="0" w:afterAutospacing="0"/>
        <w:jc w:val="center"/>
        <w:rPr>
          <w:rStyle w:val="8"/>
          <w:rFonts w:hint="eastAsia" w:ascii="方正小标宋简体" w:hAnsi="方正小标宋简体" w:eastAsia="方正小标宋简体" w:cs="方正小标宋简体"/>
          <w:b w:val="0"/>
          <w:bCs w:val="0"/>
          <w:color w:val="000000"/>
          <w:sz w:val="44"/>
          <w:szCs w:val="44"/>
        </w:rPr>
      </w:pPr>
      <w:r>
        <w:rPr>
          <w:rStyle w:val="8"/>
          <w:rFonts w:hint="eastAsia" w:ascii="方正小标宋简体" w:hAnsi="方正小标宋简体" w:eastAsia="方正小标宋简体" w:cs="方正小标宋简体"/>
          <w:b w:val="0"/>
          <w:bCs w:val="0"/>
          <w:color w:val="000000"/>
          <w:sz w:val="44"/>
          <w:szCs w:val="44"/>
        </w:rPr>
        <w:t>管理经办规程</w:t>
      </w:r>
    </w:p>
    <w:bookmarkEnd w:id="0"/>
    <w:p w14:paraId="421F51CA">
      <w:pPr>
        <w:pStyle w:val="4"/>
        <w:spacing w:before="0" w:beforeAutospacing="0" w:after="0" w:afterAutospacing="0"/>
        <w:jc w:val="center"/>
        <w:rPr>
          <w:rStyle w:val="8"/>
          <w:rFonts w:hint="eastAsia" w:eastAsia="宋体"/>
          <w:b w:val="0"/>
          <w:bCs w:val="0"/>
          <w:color w:val="000000"/>
          <w:sz w:val="32"/>
          <w:szCs w:val="32"/>
          <w:lang w:eastAsia="zh-CN"/>
        </w:rPr>
      </w:pPr>
      <w:r>
        <w:rPr>
          <w:rStyle w:val="8"/>
          <w:rFonts w:hint="eastAsia"/>
          <w:b w:val="0"/>
          <w:bCs w:val="0"/>
          <w:color w:val="000000"/>
          <w:sz w:val="32"/>
          <w:szCs w:val="32"/>
          <w:lang w:eastAsia="zh-CN"/>
        </w:rPr>
        <w:t>（征求意见稿）</w:t>
      </w:r>
    </w:p>
    <w:p w14:paraId="0D930E22">
      <w:pPr>
        <w:pStyle w:val="4"/>
        <w:spacing w:before="0" w:beforeAutospacing="0" w:after="0" w:afterAutospacing="0"/>
        <w:jc w:val="center"/>
        <w:rPr>
          <w:rFonts w:hint="eastAsia" w:ascii="楷体_GB2312" w:hAnsi="黑体" w:eastAsia="楷体_GB2312"/>
          <w:color w:val="000000"/>
          <w:sz w:val="32"/>
          <w:szCs w:val="32"/>
        </w:rPr>
      </w:pPr>
    </w:p>
    <w:p w14:paraId="2DA566A0">
      <w:pPr>
        <w:pStyle w:val="4"/>
        <w:spacing w:before="0" w:beforeAutospacing="0" w:after="0" w:afterAutospacing="0"/>
        <w:jc w:val="center"/>
        <w:rPr>
          <w:rFonts w:ascii="楷体_GB2312" w:eastAsia="楷体_GB2312"/>
          <w:color w:val="000000"/>
          <w:sz w:val="32"/>
          <w:szCs w:val="32"/>
        </w:rPr>
      </w:pPr>
      <w:r>
        <w:rPr>
          <w:rFonts w:hint="eastAsia" w:ascii="楷体_GB2312" w:hAnsi="黑体" w:eastAsia="楷体_GB2312"/>
          <w:color w:val="000000"/>
          <w:sz w:val="32"/>
          <w:szCs w:val="32"/>
        </w:rPr>
        <w:t>第一章 总 则</w:t>
      </w:r>
    </w:p>
    <w:p w14:paraId="58DE931B">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第一条 为切实落实好我区基本医疗保险国家谈判药品“双通道”管理政策，保障参保人员享受相关待遇，规范谈判药品“双通道”管理经办服务工作，根据《国家医保局国家卫生健康委关于建立完善国家医保谈判药品“双通道”管理机制的指导意见》（医保发〔2021〕28号）、《自治区医疗保障局自治区卫生健康委关于建立国家医保谈判药品“双通道”管理机制的通知》（宁医保发〔2021〕151号）要求，制定本规程。</w:t>
      </w:r>
    </w:p>
    <w:p w14:paraId="40AB2898">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第二条 本规程适用范围是指自治区医疗保障局纳入“双通道”管理国家谈判药品。</w:t>
      </w:r>
    </w:p>
    <w:p w14:paraId="2A955E48">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第三条 本规程保障对象包括指定医疗机构责任医师诊断符合谈判药品使用适应症、临床诊疗规范、医保支付相关规定且无使用禁忌症的我区基本医疗保险参保人员。</w:t>
      </w:r>
    </w:p>
    <w:p w14:paraId="47144E0D">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第四条 本规程所称基本医疗保险国家谈判药品“双通道”管理（以下简称“双通道”管理）是指参保人员可通过定点医疗机构和定点零售药店两个渠道购买使用国家谈判药品（以下简称“谈判药品”），并执行单独的医保支付政策。谈判药品实行目录管理，由自治区医保局统一下发，动态调整。谈判药品使用实行“三定管理”（定医疗机构、定责任医师、定零售药店）。</w:t>
      </w:r>
    </w:p>
    <w:p w14:paraId="7B920BC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第五条 各级医保部门负责所辖区“双通道”管理服务工作。自治区医保部门统一公示全区“双通道”管理定点医疗机构、定点零售药店名单，负责全区“双通道”管理经办服务规程的制定，负责全区“双通道”管理经办服务指导工作。</w:t>
      </w:r>
    </w:p>
    <w:p w14:paraId="20197DC7">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市级医保部门牵头负责“双通道”管理过程中就医、结算、支付、考核和监管工作，牵头负责所辖区“双通道”管理定点医药机构和医保责任医师的信息报送，负责所辖区“双通道”管理经办服务指导工作。                                 </w:t>
      </w:r>
      <w:r>
        <w:rPr>
          <w:rFonts w:hint="eastAsia" w:ascii="仿宋_GB2312" w:eastAsia="仿宋_GB2312" w:cs="宋体"/>
          <w:color w:val="00B0F0"/>
          <w:kern w:val="0"/>
          <w:sz w:val="32"/>
          <w:szCs w:val="32"/>
          <w:lang w:val="en-US" w:eastAsia="zh-CN" w:bidi="ar-SA"/>
        </w:rPr>
        <w:t xml:space="preserve">                                                                    </w:t>
      </w:r>
    </w:p>
    <w:p w14:paraId="70BD2FFF">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市</w:t>
      </w:r>
      <w:r>
        <w:rPr>
          <w:rFonts w:hint="eastAsia" w:ascii="仿宋_GB2312" w:hAnsi="宋体" w:eastAsia="仿宋_GB2312" w:cs="宋体"/>
          <w:color w:val="000000"/>
          <w:kern w:val="0"/>
          <w:sz w:val="32"/>
          <w:szCs w:val="32"/>
          <w:lang w:val="en-US" w:eastAsia="zh-CN" w:bidi="ar-SA"/>
        </w:rPr>
        <w:t>（县、区）医保部门负责“双通道”管理的定点医疗机构和定点零售药店确定，加强对辖区双通道定点医药机构谈判药品的使用管理和监督，做好本地区“双通道”管理定点医药机构和医保责任医师培训工作，督促定点医药机构完成内部系统改造和与“双通道”管理系统对接工作。</w:t>
      </w:r>
    </w:p>
    <w:p w14:paraId="3703A15E">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定点医疗机构</w:t>
      </w:r>
      <w:r>
        <w:rPr>
          <w:rFonts w:hint="eastAsia" w:ascii="仿宋_GB2312" w:eastAsia="仿宋_GB2312" w:cs="宋体"/>
          <w:color w:val="000000"/>
          <w:kern w:val="0"/>
          <w:sz w:val="32"/>
          <w:szCs w:val="32"/>
          <w:lang w:val="en-US" w:eastAsia="zh-CN" w:bidi="ar-SA"/>
        </w:rPr>
        <w:t>是谈判药品临床合理使用的第一责任人，</w:t>
      </w:r>
      <w:r>
        <w:rPr>
          <w:rFonts w:hint="eastAsia" w:ascii="仿宋_GB2312" w:hAnsi="宋体" w:eastAsia="仿宋_GB2312" w:cs="宋体"/>
          <w:color w:val="000000"/>
          <w:kern w:val="0"/>
          <w:sz w:val="32"/>
          <w:szCs w:val="32"/>
          <w:lang w:val="en-US" w:eastAsia="zh-CN" w:bidi="ar-SA"/>
        </w:rPr>
        <w:t>负责确定责任医师，负责“双通道”管理政策实施等工作</w:t>
      </w:r>
      <w:r>
        <w:rPr>
          <w:rFonts w:hint="eastAsia" w:ascii="仿宋_GB2312" w:eastAsia="仿宋_GB2312" w:cs="宋体"/>
          <w:color w:val="000000"/>
          <w:kern w:val="0"/>
          <w:sz w:val="32"/>
          <w:szCs w:val="32"/>
          <w:lang w:val="en-US" w:eastAsia="zh-CN" w:bidi="ar-SA"/>
        </w:rPr>
        <w:t>，不得以建立“双通道”管理机制为由，不采或少采谈判药品，将药品销售全部转嫁到“双通道”药店，影响谈判药品配备和使用</w:t>
      </w:r>
      <w:r>
        <w:rPr>
          <w:rFonts w:hint="eastAsia" w:ascii="仿宋_GB2312" w:hAnsi="宋体" w:eastAsia="仿宋_GB2312" w:cs="宋体"/>
          <w:color w:val="000000"/>
          <w:kern w:val="0"/>
          <w:sz w:val="32"/>
          <w:szCs w:val="32"/>
          <w:lang w:val="en-US" w:eastAsia="zh-CN" w:bidi="ar-SA"/>
        </w:rPr>
        <w:t>。</w:t>
      </w:r>
    </w:p>
    <w:p w14:paraId="2B96FF5D">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定点零售药店负责承担“双通道”药品保障，建立“双通道”药品质量安全全程监管和药品“进、销、存”管理制度，实现药品电子追溯。</w:t>
      </w:r>
    </w:p>
    <w:p w14:paraId="79E92E33">
      <w:pPr>
        <w:pStyle w:val="4"/>
        <w:numPr>
          <w:ilvl w:val="0"/>
          <w:numId w:val="1"/>
        </w:numPr>
        <w:spacing w:before="0" w:beforeAutospacing="0" w:after="0" w:afterAutospacing="0" w:line="560" w:lineRule="exact"/>
        <w:jc w:val="center"/>
        <w:rPr>
          <w:rFonts w:hint="eastAsia" w:ascii="楷体_GB2312" w:hAnsi="黑体" w:eastAsia="楷体_GB2312"/>
          <w:color w:val="000000"/>
          <w:sz w:val="32"/>
          <w:szCs w:val="32"/>
        </w:rPr>
      </w:pPr>
      <w:r>
        <w:rPr>
          <w:rFonts w:hint="eastAsia" w:ascii="楷体_GB2312" w:hAnsi="黑体" w:eastAsia="楷体_GB2312"/>
          <w:color w:val="000000"/>
          <w:sz w:val="32"/>
          <w:szCs w:val="32"/>
        </w:rPr>
        <w:t>三定管理</w:t>
      </w:r>
    </w:p>
    <w:p w14:paraId="5EC4FB99">
      <w:pPr>
        <w:pStyle w:val="4"/>
        <w:numPr>
          <w:numId w:val="0"/>
        </w:numPr>
        <w:spacing w:before="0" w:beforeAutospacing="0" w:after="0" w:afterAutospacing="0" w:line="560" w:lineRule="exact"/>
        <w:ind w:firstLine="640" w:firstLineChars="200"/>
        <w:jc w:val="both"/>
        <w:rPr>
          <w:rFonts w:hint="eastAsia" w:ascii="仿宋_GB2312"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第六条 </w:t>
      </w:r>
      <w:r>
        <w:rPr>
          <w:rFonts w:hint="eastAsia" w:ascii="仿宋_GB2312" w:eastAsia="仿宋_GB2312" w:cs="宋体"/>
          <w:color w:val="000000"/>
          <w:kern w:val="0"/>
          <w:sz w:val="32"/>
          <w:szCs w:val="32"/>
          <w:lang w:val="en-US" w:eastAsia="zh-CN" w:bidi="ar-SA"/>
        </w:rPr>
        <w:t>受理</w:t>
      </w:r>
      <w:r>
        <w:rPr>
          <w:rFonts w:hint="eastAsia" w:ascii="仿宋_GB2312" w:hAnsi="宋体" w:eastAsia="仿宋_GB2312" w:cs="宋体"/>
          <w:color w:val="000000"/>
          <w:kern w:val="0"/>
          <w:sz w:val="32"/>
          <w:szCs w:val="32"/>
          <w:lang w:val="en-US" w:eastAsia="zh-CN" w:bidi="ar-SA"/>
        </w:rPr>
        <w:t>申请。每年12月5日前，市（县、区）医保经办机构受理所辖区谈判药品“双通道”定点医疗机构、定点零售药店和责任医师申请材料（具体表样详见附件1、2）。“双通道”定点医疗机构需确定本院主治及以上医师作为其使用“双通道”药品的责任医师，填报《双通道管理责任医师信息表》，作为定点医疗机构申请谈判药品“双通道”定点的附件一同报送。</w:t>
      </w:r>
      <w:r>
        <w:rPr>
          <w:rFonts w:hint="eastAsia" w:ascii="仿宋_GB2312" w:eastAsia="仿宋_GB2312" w:cs="宋体"/>
          <w:color w:val="000000"/>
          <w:kern w:val="0"/>
          <w:sz w:val="32"/>
          <w:szCs w:val="32"/>
          <w:lang w:val="en-US" w:eastAsia="zh-CN" w:bidi="ar-SA"/>
        </w:rPr>
        <w:t>定点零售药店除报送申请表外，同时还需填报《</w:t>
      </w:r>
      <w:r>
        <w:rPr>
          <w:rFonts w:hint="eastAsia" w:ascii="仿宋_GB2312" w:hAnsi="宋体" w:eastAsia="仿宋_GB2312" w:cs="宋体"/>
          <w:color w:val="000000"/>
          <w:kern w:val="0"/>
          <w:sz w:val="32"/>
          <w:szCs w:val="32"/>
          <w:lang w:val="en-US" w:eastAsia="zh-CN" w:bidi="ar-SA"/>
        </w:rPr>
        <w:t>宁夏基本医保“双通道”管理零售药店诚信承诺书</w:t>
      </w:r>
      <w:r>
        <w:rPr>
          <w:rFonts w:hint="eastAsia" w:ascii="仿宋_GB2312" w:eastAsia="仿宋_GB2312" w:cs="宋体"/>
          <w:color w:val="000000"/>
          <w:kern w:val="0"/>
          <w:sz w:val="32"/>
          <w:szCs w:val="32"/>
          <w:lang w:val="en-US" w:eastAsia="zh-CN" w:bidi="ar-SA"/>
        </w:rPr>
        <w:t>》（详见附件3）</w:t>
      </w:r>
      <w:r>
        <w:rPr>
          <w:rFonts w:hint="eastAsia" w:ascii="仿宋_GB2312" w:hAnsi="宋体" w:eastAsia="仿宋_GB2312" w:cs="宋体"/>
          <w:color w:val="000000"/>
          <w:kern w:val="0"/>
          <w:sz w:val="32"/>
          <w:szCs w:val="32"/>
          <w:lang w:val="en-US" w:eastAsia="zh-CN" w:bidi="ar-SA"/>
        </w:rPr>
        <w:t>。</w:t>
      </w:r>
      <w:r>
        <w:rPr>
          <w:rFonts w:hint="eastAsia" w:ascii="仿宋_GB2312" w:eastAsia="仿宋_GB2312" w:cs="宋体"/>
          <w:color w:val="000000"/>
          <w:kern w:val="0"/>
          <w:sz w:val="32"/>
          <w:szCs w:val="32"/>
          <w:lang w:val="en-US" w:eastAsia="zh-CN" w:bidi="ar-SA"/>
        </w:rPr>
        <w:t>申请材料作为资格初审和评审材料。</w:t>
      </w:r>
    </w:p>
    <w:p w14:paraId="4CCEB73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第七条 资格初审</w:t>
      </w:r>
      <w:r>
        <w:rPr>
          <w:rFonts w:hint="eastAsia" w:ascii="仿宋_GB2312" w:hAnsi="宋体" w:eastAsia="仿宋_GB2312" w:cs="宋体"/>
          <w:color w:val="000000"/>
          <w:kern w:val="0"/>
          <w:sz w:val="32"/>
          <w:szCs w:val="32"/>
          <w:lang w:val="en-US" w:eastAsia="zh-CN" w:bidi="ar-SA"/>
        </w:rPr>
        <w:t>。每年12月1</w:t>
      </w:r>
      <w:r>
        <w:rPr>
          <w:rFonts w:hint="eastAsia" w:ascii="仿宋_GB2312" w:eastAsia="仿宋_GB2312" w:cs="宋体"/>
          <w:color w:val="000000"/>
          <w:kern w:val="0"/>
          <w:sz w:val="32"/>
          <w:szCs w:val="32"/>
          <w:lang w:val="en-US" w:eastAsia="zh-CN" w:bidi="ar-SA"/>
        </w:rPr>
        <w:t>0</w:t>
      </w:r>
      <w:r>
        <w:rPr>
          <w:rFonts w:hint="eastAsia" w:ascii="仿宋_GB2312" w:hAnsi="宋体" w:eastAsia="仿宋_GB2312" w:cs="宋体"/>
          <w:color w:val="000000"/>
          <w:kern w:val="0"/>
          <w:sz w:val="32"/>
          <w:szCs w:val="32"/>
          <w:lang w:val="en-US" w:eastAsia="zh-CN" w:bidi="ar-SA"/>
        </w:rPr>
        <w:t>日前，</w:t>
      </w:r>
      <w:r>
        <w:rPr>
          <w:rFonts w:hint="eastAsia" w:ascii="仿宋_GB2312" w:eastAsia="仿宋_GB2312" w:cs="宋体"/>
          <w:color w:val="000000"/>
          <w:kern w:val="0"/>
          <w:sz w:val="32"/>
          <w:szCs w:val="32"/>
          <w:lang w:val="en-US" w:eastAsia="zh-CN" w:bidi="ar-SA"/>
        </w:rPr>
        <w:t>市（县、区）医保经办机构依据谈判药品“双通道”定点</w:t>
      </w:r>
      <w:r>
        <w:rPr>
          <w:rFonts w:hint="eastAsia" w:ascii="仿宋_GB2312" w:hAnsi="宋体" w:eastAsia="仿宋_GB2312" w:cs="宋体"/>
          <w:color w:val="000000"/>
          <w:kern w:val="0"/>
          <w:sz w:val="32"/>
          <w:szCs w:val="32"/>
          <w:lang w:val="en-US" w:eastAsia="zh-CN" w:bidi="ar-SA"/>
        </w:rPr>
        <w:t>准入标准（附件</w:t>
      </w:r>
      <w:r>
        <w:rPr>
          <w:rFonts w:hint="eastAsia" w:ascii="仿宋_GB2312" w:eastAsia="仿宋_GB2312" w:cs="宋体"/>
          <w:color w:val="000000"/>
          <w:kern w:val="0"/>
          <w:sz w:val="32"/>
          <w:szCs w:val="32"/>
          <w:lang w:val="en-US" w:eastAsia="zh-CN" w:bidi="ar-SA"/>
        </w:rPr>
        <w:t>4</w:t>
      </w:r>
      <w:r>
        <w:rPr>
          <w:rFonts w:hint="eastAsia" w:ascii="仿宋_GB2312" w:hAnsi="宋体" w:eastAsia="仿宋_GB2312" w:cs="宋体"/>
          <w:color w:val="000000"/>
          <w:kern w:val="0"/>
          <w:sz w:val="32"/>
          <w:szCs w:val="32"/>
          <w:lang w:val="en-US" w:eastAsia="zh-CN" w:bidi="ar-SA"/>
        </w:rPr>
        <w:t>）和医保协议执行情况，</w:t>
      </w:r>
      <w:r>
        <w:rPr>
          <w:rFonts w:hint="eastAsia" w:ascii="仿宋_GB2312" w:eastAsia="仿宋_GB2312" w:cs="宋体"/>
          <w:color w:val="000000"/>
          <w:kern w:val="0"/>
          <w:sz w:val="32"/>
          <w:szCs w:val="32"/>
          <w:lang w:val="en-US" w:eastAsia="zh-CN" w:bidi="ar-SA"/>
        </w:rPr>
        <w:t>对受理的申请单位和人员进行准入资格审查，并将初审结果通知申请单位，对初审不合格的，应将具体原因告知申请单位。通过初审的，</w:t>
      </w:r>
      <w:r>
        <w:rPr>
          <w:rFonts w:hint="eastAsia" w:ascii="仿宋_GB2312" w:hAnsi="宋体" w:eastAsia="仿宋_GB2312" w:cs="宋体"/>
          <w:color w:val="000000"/>
          <w:kern w:val="0"/>
          <w:sz w:val="32"/>
          <w:szCs w:val="32"/>
          <w:lang w:val="en-US" w:eastAsia="zh-CN" w:bidi="ar-SA"/>
        </w:rPr>
        <w:t>各医保经办机构</w:t>
      </w:r>
      <w:r>
        <w:rPr>
          <w:rFonts w:hint="eastAsia" w:ascii="仿宋_GB2312" w:eastAsia="仿宋_GB2312" w:cs="宋体"/>
          <w:color w:val="000000"/>
          <w:kern w:val="0"/>
          <w:sz w:val="32"/>
          <w:szCs w:val="32"/>
          <w:lang w:val="en-US" w:eastAsia="zh-CN" w:bidi="ar-SA"/>
        </w:rPr>
        <w:t>分类</w:t>
      </w:r>
      <w:r>
        <w:rPr>
          <w:rFonts w:hint="eastAsia" w:ascii="仿宋_GB2312" w:hAnsi="宋体" w:eastAsia="仿宋_GB2312" w:cs="宋体"/>
          <w:color w:val="000000"/>
          <w:kern w:val="0"/>
          <w:sz w:val="32"/>
          <w:szCs w:val="32"/>
          <w:lang w:val="en-US" w:eastAsia="zh-CN" w:bidi="ar-SA"/>
        </w:rPr>
        <w:t>汇总后报</w:t>
      </w:r>
      <w:r>
        <w:rPr>
          <w:rFonts w:hint="eastAsia" w:ascii="仿宋_GB2312" w:eastAsia="仿宋_GB2312" w:cs="宋体"/>
          <w:color w:val="000000"/>
          <w:kern w:val="0"/>
          <w:sz w:val="32"/>
          <w:szCs w:val="32"/>
          <w:lang w:val="en-US" w:eastAsia="zh-CN" w:bidi="ar-SA"/>
        </w:rPr>
        <w:t>同级</w:t>
      </w:r>
      <w:r>
        <w:rPr>
          <w:rFonts w:hint="eastAsia" w:ascii="仿宋_GB2312" w:hAnsi="宋体" w:eastAsia="仿宋_GB2312" w:cs="宋体"/>
          <w:color w:val="000000"/>
          <w:kern w:val="0"/>
          <w:sz w:val="32"/>
          <w:szCs w:val="32"/>
          <w:lang w:val="en-US" w:eastAsia="zh-CN" w:bidi="ar-SA"/>
        </w:rPr>
        <w:t>医保</w:t>
      </w:r>
      <w:r>
        <w:rPr>
          <w:rFonts w:hint="eastAsia" w:ascii="仿宋_GB2312" w:eastAsia="仿宋_GB2312" w:cs="宋体"/>
          <w:color w:val="000000"/>
          <w:kern w:val="0"/>
          <w:sz w:val="32"/>
          <w:szCs w:val="32"/>
          <w:lang w:val="en-US" w:eastAsia="zh-CN" w:bidi="ar-SA"/>
        </w:rPr>
        <w:t>局集中评审</w:t>
      </w:r>
      <w:r>
        <w:rPr>
          <w:rFonts w:hint="eastAsia" w:ascii="仿宋_GB2312" w:hAnsi="宋体" w:eastAsia="仿宋_GB2312" w:cs="宋体"/>
          <w:color w:val="000000"/>
          <w:kern w:val="0"/>
          <w:sz w:val="32"/>
          <w:szCs w:val="32"/>
          <w:lang w:val="en-US" w:eastAsia="zh-CN" w:bidi="ar-SA"/>
        </w:rPr>
        <w:t>。</w:t>
      </w:r>
    </w:p>
    <w:p w14:paraId="655E8BBC">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第八条 集中评审。</w:t>
      </w:r>
      <w:r>
        <w:rPr>
          <w:rFonts w:hint="eastAsia" w:ascii="仿宋_GB2312" w:hAnsi="宋体" w:eastAsia="仿宋_GB2312" w:cs="宋体"/>
          <w:color w:val="000000"/>
          <w:kern w:val="0"/>
          <w:sz w:val="32"/>
          <w:szCs w:val="32"/>
          <w:lang w:val="en-US" w:eastAsia="zh-CN" w:bidi="ar-SA"/>
        </w:rPr>
        <w:t>每年12月</w:t>
      </w:r>
      <w:r>
        <w:rPr>
          <w:rFonts w:hint="eastAsia" w:ascii="仿宋_GB2312" w:eastAsia="仿宋_GB2312" w:cs="宋体"/>
          <w:color w:val="000000"/>
          <w:kern w:val="0"/>
          <w:sz w:val="32"/>
          <w:szCs w:val="32"/>
          <w:lang w:val="en-US" w:eastAsia="zh-CN" w:bidi="ar-SA"/>
        </w:rPr>
        <w:t>20</w:t>
      </w:r>
      <w:r>
        <w:rPr>
          <w:rFonts w:hint="eastAsia" w:ascii="仿宋_GB2312" w:hAnsi="宋体" w:eastAsia="仿宋_GB2312" w:cs="宋体"/>
          <w:color w:val="000000"/>
          <w:kern w:val="0"/>
          <w:sz w:val="32"/>
          <w:szCs w:val="32"/>
          <w:lang w:val="en-US" w:eastAsia="zh-CN" w:bidi="ar-SA"/>
        </w:rPr>
        <w:t>日前，</w:t>
      </w:r>
      <w:r>
        <w:rPr>
          <w:rFonts w:hint="eastAsia" w:ascii="仿宋_GB2312" w:eastAsia="仿宋_GB2312" w:cs="宋体"/>
          <w:color w:val="000000"/>
          <w:kern w:val="0"/>
          <w:sz w:val="32"/>
          <w:szCs w:val="32"/>
          <w:lang w:val="en-US" w:eastAsia="zh-CN" w:bidi="ar-SA"/>
        </w:rPr>
        <w:t>市（县、区）</w:t>
      </w:r>
      <w:r>
        <w:rPr>
          <w:rFonts w:hint="eastAsia" w:ascii="仿宋_GB2312" w:hAnsi="宋体" w:eastAsia="仿宋_GB2312" w:cs="宋体"/>
          <w:color w:val="000000"/>
          <w:kern w:val="0"/>
          <w:sz w:val="32"/>
          <w:szCs w:val="32"/>
          <w:lang w:val="en-US" w:eastAsia="zh-CN" w:bidi="ar-SA"/>
        </w:rPr>
        <w:t>医保</w:t>
      </w:r>
      <w:r>
        <w:rPr>
          <w:rFonts w:hint="eastAsia" w:ascii="仿宋_GB2312" w:eastAsia="仿宋_GB2312" w:cs="宋体"/>
          <w:color w:val="000000"/>
          <w:kern w:val="0"/>
          <w:sz w:val="32"/>
          <w:szCs w:val="32"/>
          <w:lang w:val="en-US" w:eastAsia="zh-CN" w:bidi="ar-SA"/>
        </w:rPr>
        <w:t>局组织</w:t>
      </w:r>
      <w:r>
        <w:rPr>
          <w:rFonts w:hint="eastAsia" w:ascii="仿宋_GB2312" w:hAnsi="宋体" w:eastAsia="仿宋_GB2312" w:cs="宋体"/>
          <w:color w:val="000000"/>
          <w:kern w:val="0"/>
          <w:sz w:val="32"/>
          <w:szCs w:val="32"/>
          <w:lang w:val="en-US" w:eastAsia="zh-CN" w:bidi="ar-SA"/>
        </w:rPr>
        <w:t>卫生健康</w:t>
      </w:r>
      <w:r>
        <w:rPr>
          <w:rFonts w:hint="eastAsia" w:ascii="仿宋_GB2312" w:eastAsia="仿宋_GB2312" w:cs="宋体"/>
          <w:color w:val="000000"/>
          <w:kern w:val="0"/>
          <w:sz w:val="32"/>
          <w:szCs w:val="32"/>
          <w:lang w:val="en-US" w:eastAsia="zh-CN" w:bidi="ar-SA"/>
        </w:rPr>
        <w:t>委、医保经办机构等相关单位工作人员组成评估小组，综合考虑申报定点医药机构的地理位置、覆盖人群、功能定位等因素，对通过资格初审的定点医药结构进行集中评审。</w:t>
      </w:r>
    </w:p>
    <w:p w14:paraId="07B6A8BB">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第九条 公示及备案。市（县、区）医保局对评审通过的“双通道”定点医药机构予以公示，公示期为5个工作日。公示期间收到举报并经核查发现不符合条件的，取消相应医药机构遴选资格。公示期满后，经当地医保局研究后，将符合条件的“双通道”定点医疗机构、定点零售药店、责任医师信息上报市级医保局汇总，由市级医保局报自治区医保局备案。</w:t>
      </w:r>
    </w:p>
    <w:p w14:paraId="5912D737">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w:t>
      </w:r>
      <w:r>
        <w:rPr>
          <w:rFonts w:hint="eastAsia" w:ascii="仿宋_GB2312" w:eastAsia="仿宋_GB2312" w:cs="宋体"/>
          <w:color w:val="000000"/>
          <w:kern w:val="0"/>
          <w:sz w:val="32"/>
          <w:szCs w:val="32"/>
          <w:lang w:val="en-US" w:eastAsia="zh-CN" w:bidi="ar-SA"/>
        </w:rPr>
        <w:t>十</w:t>
      </w:r>
      <w:r>
        <w:rPr>
          <w:rFonts w:hint="eastAsia" w:ascii="仿宋_GB2312" w:hAnsi="宋体" w:eastAsia="仿宋_GB2312" w:cs="宋体"/>
          <w:color w:val="000000"/>
          <w:kern w:val="0"/>
          <w:sz w:val="32"/>
          <w:szCs w:val="32"/>
          <w:lang w:val="en-US" w:eastAsia="zh-CN" w:bidi="ar-SA"/>
        </w:rPr>
        <w:t>条 发布。每年</w:t>
      </w:r>
      <w:r>
        <w:rPr>
          <w:rFonts w:hint="eastAsia" w:ascii="仿宋_GB2312" w:eastAsia="仿宋_GB2312" w:cs="宋体"/>
          <w:color w:val="000000"/>
          <w:kern w:val="0"/>
          <w:sz w:val="32"/>
          <w:szCs w:val="32"/>
          <w:lang w:val="en-US" w:eastAsia="zh-CN" w:bidi="ar-SA"/>
        </w:rPr>
        <w:t>年底</w:t>
      </w:r>
      <w:r>
        <w:rPr>
          <w:rFonts w:hint="eastAsia" w:ascii="仿宋_GB2312" w:hAnsi="宋体" w:eastAsia="仿宋_GB2312" w:cs="宋体"/>
          <w:color w:val="000000"/>
          <w:kern w:val="0"/>
          <w:sz w:val="32"/>
          <w:szCs w:val="32"/>
          <w:lang w:val="en-US" w:eastAsia="zh-CN" w:bidi="ar-SA"/>
        </w:rPr>
        <w:t>前，自治区医保局根据各市上报的</w:t>
      </w:r>
      <w:r>
        <w:rPr>
          <w:rFonts w:hint="eastAsia" w:ascii="仿宋_GB2312" w:eastAsia="仿宋_GB2312" w:cs="宋体"/>
          <w:color w:val="000000"/>
          <w:kern w:val="0"/>
          <w:sz w:val="32"/>
          <w:szCs w:val="32"/>
          <w:lang w:val="en-US" w:eastAsia="zh-CN" w:bidi="ar-SA"/>
        </w:rPr>
        <w:t>谈判药品</w:t>
      </w:r>
      <w:r>
        <w:rPr>
          <w:rFonts w:hint="eastAsia" w:ascii="仿宋_GB2312" w:hAnsi="宋体" w:eastAsia="仿宋_GB2312" w:cs="宋体"/>
          <w:color w:val="000000"/>
          <w:kern w:val="0"/>
          <w:sz w:val="32"/>
          <w:szCs w:val="32"/>
          <w:lang w:val="en-US" w:eastAsia="zh-CN" w:bidi="ar-SA"/>
        </w:rPr>
        <w:t>“</w:t>
      </w:r>
      <w:r>
        <w:rPr>
          <w:rFonts w:hint="eastAsia" w:ascii="仿宋_GB2312" w:eastAsia="仿宋_GB2312" w:cs="宋体"/>
          <w:color w:val="000000"/>
          <w:kern w:val="0"/>
          <w:sz w:val="32"/>
          <w:szCs w:val="32"/>
          <w:lang w:val="en-US" w:eastAsia="zh-CN" w:bidi="ar-SA"/>
        </w:rPr>
        <w:t>“双通道”医药机构</w:t>
      </w:r>
      <w:r>
        <w:rPr>
          <w:rFonts w:hint="eastAsia" w:ascii="仿宋_GB2312" w:hAnsi="宋体" w:eastAsia="仿宋_GB2312" w:cs="宋体"/>
          <w:color w:val="000000"/>
          <w:kern w:val="0"/>
          <w:sz w:val="32"/>
          <w:szCs w:val="32"/>
          <w:lang w:val="en-US" w:eastAsia="zh-CN" w:bidi="ar-SA"/>
        </w:rPr>
        <w:t>名单统一向社会公布，</w:t>
      </w:r>
      <w:r>
        <w:rPr>
          <w:rFonts w:hint="eastAsia" w:ascii="仿宋_GB2312" w:eastAsia="仿宋_GB2312" w:cs="宋体"/>
          <w:color w:val="000000"/>
          <w:kern w:val="0"/>
          <w:sz w:val="32"/>
          <w:szCs w:val="32"/>
          <w:lang w:val="en-US" w:eastAsia="zh-CN" w:bidi="ar-SA"/>
        </w:rPr>
        <w:t>为符合条件的医药机构开通谈判药品“双通道”管理权限，</w:t>
      </w:r>
      <w:r>
        <w:rPr>
          <w:rFonts w:hint="eastAsia" w:ascii="仿宋_GB2312" w:hAnsi="宋体" w:eastAsia="仿宋_GB2312" w:cs="宋体"/>
          <w:color w:val="000000"/>
          <w:kern w:val="0"/>
          <w:sz w:val="32"/>
          <w:szCs w:val="32"/>
          <w:lang w:val="en-US" w:eastAsia="zh-CN" w:bidi="ar-SA"/>
        </w:rPr>
        <w:t>全区互认共享。</w:t>
      </w:r>
    </w:p>
    <w:p w14:paraId="6A4A6B96">
      <w:pPr>
        <w:pStyle w:val="4"/>
        <w:spacing w:before="0" w:beforeAutospacing="0" w:after="0" w:afterAutospacing="0" w:line="560" w:lineRule="exact"/>
        <w:ind w:firstLine="640" w:firstLineChars="200"/>
        <w:rPr>
          <w:rFonts w:hint="default" w:ascii="仿宋_GB2312"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w:t>
      </w:r>
      <w:r>
        <w:rPr>
          <w:rFonts w:hint="eastAsia" w:ascii="仿宋_GB2312" w:eastAsia="仿宋_GB2312" w:cs="宋体"/>
          <w:color w:val="000000"/>
          <w:kern w:val="0"/>
          <w:sz w:val="32"/>
          <w:szCs w:val="32"/>
          <w:lang w:val="en-US" w:eastAsia="zh-CN" w:bidi="ar-SA"/>
        </w:rPr>
        <w:t>十一</w:t>
      </w:r>
      <w:r>
        <w:rPr>
          <w:rFonts w:hint="eastAsia" w:ascii="仿宋_GB2312" w:hAnsi="宋体" w:eastAsia="仿宋_GB2312" w:cs="宋体"/>
          <w:color w:val="000000"/>
          <w:kern w:val="0"/>
          <w:sz w:val="32"/>
          <w:szCs w:val="32"/>
          <w:lang w:val="en-US" w:eastAsia="zh-CN" w:bidi="ar-SA"/>
        </w:rPr>
        <w:t>条 签订</w:t>
      </w:r>
      <w:r>
        <w:rPr>
          <w:rFonts w:hint="eastAsia" w:ascii="仿宋_GB2312" w:eastAsia="仿宋_GB2312" w:cs="宋体"/>
          <w:color w:val="000000"/>
          <w:kern w:val="0"/>
          <w:sz w:val="32"/>
          <w:szCs w:val="32"/>
          <w:lang w:val="en-US" w:eastAsia="zh-CN" w:bidi="ar-SA"/>
        </w:rPr>
        <w:t>协议</w:t>
      </w:r>
      <w:r>
        <w:rPr>
          <w:rFonts w:hint="eastAsia" w:ascii="仿宋_GB2312" w:hAnsi="宋体" w:eastAsia="仿宋_GB2312" w:cs="宋体"/>
          <w:color w:val="000000"/>
          <w:kern w:val="0"/>
          <w:sz w:val="32"/>
          <w:szCs w:val="32"/>
          <w:lang w:val="en-US" w:eastAsia="zh-CN" w:bidi="ar-SA"/>
        </w:rPr>
        <w:t>。各级医保经办机构分别与“双通道”管理定点医药机构签订“双通道”管理</w:t>
      </w:r>
      <w:r>
        <w:rPr>
          <w:rFonts w:hint="eastAsia" w:ascii="仿宋_GB2312" w:eastAsia="仿宋_GB2312" w:cs="宋体"/>
          <w:color w:val="000000"/>
          <w:kern w:val="0"/>
          <w:sz w:val="32"/>
          <w:szCs w:val="32"/>
          <w:lang w:val="en-US" w:eastAsia="zh-CN" w:bidi="ar-SA"/>
        </w:rPr>
        <w:t>补充</w:t>
      </w:r>
      <w:r>
        <w:rPr>
          <w:rFonts w:hint="eastAsia" w:ascii="仿宋_GB2312" w:hAnsi="宋体" w:eastAsia="仿宋_GB2312" w:cs="宋体"/>
          <w:color w:val="000000"/>
          <w:kern w:val="0"/>
          <w:sz w:val="32"/>
          <w:szCs w:val="32"/>
          <w:lang w:val="en-US" w:eastAsia="zh-CN" w:bidi="ar-SA"/>
        </w:rPr>
        <w:t>医保服务协议（附件</w:t>
      </w:r>
      <w:r>
        <w:rPr>
          <w:rFonts w:hint="eastAsia" w:ascii="仿宋_GB2312" w:eastAsia="仿宋_GB2312" w:cs="宋体"/>
          <w:color w:val="000000"/>
          <w:kern w:val="0"/>
          <w:sz w:val="32"/>
          <w:szCs w:val="32"/>
          <w:lang w:val="en-US" w:eastAsia="zh-CN" w:bidi="ar-SA"/>
        </w:rPr>
        <w:t>5</w:t>
      </w:r>
      <w:r>
        <w:rPr>
          <w:rFonts w:hint="eastAsia" w:ascii="仿宋_GB2312" w:hAnsi="宋体" w:eastAsia="仿宋_GB2312" w:cs="宋体"/>
          <w:color w:val="000000"/>
          <w:kern w:val="0"/>
          <w:sz w:val="32"/>
          <w:szCs w:val="32"/>
          <w:lang w:val="en-US" w:eastAsia="zh-CN" w:bidi="ar-SA"/>
        </w:rPr>
        <w:t>、</w:t>
      </w:r>
      <w:r>
        <w:rPr>
          <w:rFonts w:hint="eastAsia" w:ascii="仿宋_GB2312" w:eastAsia="仿宋_GB2312" w:cs="宋体"/>
          <w:color w:val="000000"/>
          <w:kern w:val="0"/>
          <w:sz w:val="32"/>
          <w:szCs w:val="32"/>
          <w:lang w:val="en-US" w:eastAsia="zh-CN" w:bidi="ar-SA"/>
        </w:rPr>
        <w:t>6</w:t>
      </w:r>
      <w:r>
        <w:rPr>
          <w:rFonts w:hint="eastAsia" w:ascii="仿宋_GB2312" w:hAnsi="宋体" w:eastAsia="仿宋_GB2312" w:cs="宋体"/>
          <w:color w:val="000000"/>
          <w:kern w:val="0"/>
          <w:sz w:val="32"/>
          <w:szCs w:val="32"/>
          <w:lang w:val="en-US" w:eastAsia="zh-CN" w:bidi="ar-SA"/>
        </w:rPr>
        <w:t>），明确双方的权利义务、违约责任，明确谈判药品定点医疗机构对责任医师医疗服务行为的考核管理等内容。</w:t>
      </w:r>
      <w:r>
        <w:rPr>
          <w:rFonts w:hint="eastAsia" w:ascii="仿宋_GB2312" w:eastAsia="仿宋_GB2312" w:cs="宋体"/>
          <w:color w:val="000000"/>
          <w:kern w:val="0"/>
          <w:sz w:val="32"/>
          <w:szCs w:val="32"/>
          <w:lang w:val="en-US" w:eastAsia="zh-CN" w:bidi="ar-SA"/>
        </w:rPr>
        <w:t>本着双方自愿原则，各定点医疗机构与定点零售药店签订服务补充协议。</w:t>
      </w:r>
    </w:p>
    <w:p w14:paraId="4C79398D">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w:t>
      </w:r>
      <w:r>
        <w:rPr>
          <w:rFonts w:hint="eastAsia" w:ascii="仿宋_GB2312" w:eastAsia="仿宋_GB2312" w:cs="宋体"/>
          <w:color w:val="000000"/>
          <w:kern w:val="0"/>
          <w:sz w:val="32"/>
          <w:szCs w:val="32"/>
          <w:lang w:val="en-US" w:eastAsia="zh-CN" w:bidi="ar-SA"/>
        </w:rPr>
        <w:t>二</w:t>
      </w:r>
      <w:r>
        <w:rPr>
          <w:rFonts w:hint="eastAsia" w:ascii="仿宋_GB2312" w:hAnsi="宋体" w:eastAsia="仿宋_GB2312" w:cs="宋体"/>
          <w:color w:val="000000"/>
          <w:kern w:val="0"/>
          <w:sz w:val="32"/>
          <w:szCs w:val="32"/>
          <w:lang w:val="en-US" w:eastAsia="zh-CN" w:bidi="ar-SA"/>
        </w:rPr>
        <w:t xml:space="preserve">条 </w:t>
      </w:r>
      <w:r>
        <w:rPr>
          <w:rFonts w:hint="eastAsia" w:ascii="仿宋_GB2312" w:eastAsia="仿宋_GB2312" w:cs="宋体"/>
          <w:color w:val="000000"/>
          <w:kern w:val="0"/>
          <w:sz w:val="32"/>
          <w:szCs w:val="32"/>
          <w:lang w:val="en-US" w:eastAsia="zh-CN" w:bidi="ar-SA"/>
        </w:rPr>
        <w:t>“三定”</w:t>
      </w:r>
      <w:r>
        <w:rPr>
          <w:rFonts w:hint="eastAsia" w:ascii="仿宋_GB2312" w:hAnsi="宋体" w:eastAsia="仿宋_GB2312" w:cs="宋体"/>
          <w:color w:val="000000"/>
          <w:kern w:val="0"/>
          <w:sz w:val="32"/>
          <w:szCs w:val="32"/>
          <w:lang w:val="en-US" w:eastAsia="zh-CN" w:bidi="ar-SA"/>
        </w:rPr>
        <w:t>退出。“三定”实行动态管理，“双通道”定点医疗机构、定点零售药店和责任医师未严格履行医保协议有关规定，</w:t>
      </w:r>
      <w:r>
        <w:rPr>
          <w:rFonts w:hint="eastAsia" w:ascii="仿宋_GB2312" w:eastAsia="仿宋_GB2312" w:cs="宋体"/>
          <w:color w:val="000000"/>
          <w:kern w:val="0"/>
          <w:sz w:val="32"/>
          <w:szCs w:val="32"/>
          <w:lang w:val="en-US" w:eastAsia="zh-CN" w:bidi="ar-SA"/>
        </w:rPr>
        <w:t>存在以下情况之一的，退出“双通道”管理，两年内不再纳入：</w:t>
      </w:r>
    </w:p>
    <w:p w14:paraId="070582DC">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（1）未按照医保电子处方平台标准进行信息系统改造的；</w:t>
      </w:r>
    </w:p>
    <w:p w14:paraId="728F5C4A">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（2）违法传输、修改电子处方信息数据的；</w:t>
      </w:r>
    </w:p>
    <w:p w14:paraId="3C8D3A5F">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（3）要求或诱导患者到指定药店购药、造成不良社会影响的；</w:t>
      </w:r>
    </w:p>
    <w:p w14:paraId="7687EC5C">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（4）购销存登记与实际情况不符的；</w:t>
      </w:r>
    </w:p>
    <w:p w14:paraId="0D5AF970">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（5）“双通道”处方流转药品售价超过谈判药品价格的；</w:t>
      </w:r>
    </w:p>
    <w:p w14:paraId="12036766">
      <w:pPr>
        <w:pStyle w:val="4"/>
        <w:spacing w:before="0" w:beforeAutospacing="0" w:after="0" w:afterAutospacing="0" w:line="560" w:lineRule="exact"/>
        <w:ind w:firstLine="640" w:firstLineChars="200"/>
        <w:rPr>
          <w:rFonts w:hint="default" w:ascii="仿宋_GB2312" w:hAnsi="宋体"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（6）其他情形。</w:t>
      </w:r>
    </w:p>
    <w:p w14:paraId="37764ED9">
      <w:pPr>
        <w:pStyle w:val="4"/>
        <w:spacing w:before="0" w:beforeAutospacing="0" w:after="0" w:afterAutospacing="0" w:line="560" w:lineRule="exact"/>
        <w:jc w:val="center"/>
        <w:rPr>
          <w:rFonts w:hint="eastAsia" w:ascii="楷体_GB2312" w:eastAsia="楷体_GB2312"/>
          <w:color w:val="000000"/>
          <w:sz w:val="32"/>
          <w:szCs w:val="32"/>
          <w:lang w:eastAsia="zh-CN"/>
        </w:rPr>
      </w:pPr>
      <w:r>
        <w:rPr>
          <w:rFonts w:hint="eastAsia" w:ascii="楷体_GB2312" w:hAnsi="黑体" w:eastAsia="楷体_GB2312"/>
          <w:sz w:val="32"/>
          <w:szCs w:val="32"/>
        </w:rPr>
        <w:t>第三</w:t>
      </w:r>
      <w:r>
        <w:rPr>
          <w:rFonts w:hint="eastAsia" w:ascii="楷体_GB2312" w:hAnsi="黑体" w:eastAsia="楷体_GB2312"/>
          <w:color w:val="000000"/>
          <w:sz w:val="32"/>
          <w:szCs w:val="32"/>
        </w:rPr>
        <w:t xml:space="preserve">章 </w:t>
      </w:r>
      <w:r>
        <w:rPr>
          <w:rFonts w:hint="eastAsia" w:ascii="楷体_GB2312" w:hAnsi="黑体" w:eastAsia="楷体_GB2312"/>
          <w:color w:val="000000"/>
          <w:sz w:val="32"/>
          <w:szCs w:val="32"/>
          <w:lang w:eastAsia="zh-CN"/>
        </w:rPr>
        <w:t>就医管理</w:t>
      </w:r>
    </w:p>
    <w:p w14:paraId="38267940">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w:t>
      </w:r>
      <w:r>
        <w:rPr>
          <w:rFonts w:hint="eastAsia" w:ascii="仿宋_GB2312" w:eastAsia="仿宋_GB2312" w:cs="宋体"/>
          <w:color w:val="000000"/>
          <w:kern w:val="0"/>
          <w:sz w:val="32"/>
          <w:szCs w:val="32"/>
          <w:lang w:val="en-US" w:eastAsia="zh-CN" w:bidi="ar-SA"/>
        </w:rPr>
        <w:t>三</w:t>
      </w:r>
      <w:r>
        <w:rPr>
          <w:rFonts w:hint="eastAsia" w:ascii="仿宋_GB2312" w:hAnsi="宋体" w:eastAsia="仿宋_GB2312" w:cs="宋体"/>
          <w:color w:val="000000"/>
          <w:kern w:val="0"/>
          <w:sz w:val="32"/>
          <w:szCs w:val="32"/>
          <w:lang w:val="en-US" w:eastAsia="zh-CN" w:bidi="ar-SA"/>
        </w:rPr>
        <w:t>条 参保人员使用“双通道”管理谈判药品实行申报、审核和备案制度。</w:t>
      </w:r>
    </w:p>
    <w:p w14:paraId="01CE5490">
      <w:pPr>
        <w:pStyle w:val="4"/>
        <w:spacing w:before="0" w:beforeAutospacing="0" w:after="0" w:afterAutospacing="0" w:line="560" w:lineRule="exact"/>
        <w:ind w:firstLine="640" w:firstLineChars="200"/>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（一）申报。参保</w:t>
      </w:r>
      <w:r>
        <w:rPr>
          <w:rFonts w:hint="eastAsia" w:ascii="仿宋_GB2312" w:eastAsia="仿宋_GB2312" w:cs="宋体"/>
          <w:color w:val="000000"/>
          <w:kern w:val="0"/>
          <w:sz w:val="32"/>
          <w:szCs w:val="32"/>
          <w:lang w:val="en-US" w:eastAsia="zh-CN" w:bidi="ar-SA"/>
        </w:rPr>
        <w:t>人员经谈判药品责任医师诊断后，需使用“双通道”管理的，由责任医师在医疗机构信息系统中填报</w:t>
      </w:r>
      <w:r>
        <w:rPr>
          <w:rFonts w:hint="eastAsia" w:ascii="仿宋_GB2312" w:hAnsi="宋体" w:eastAsia="仿宋_GB2312" w:cs="宋体"/>
          <w:color w:val="000000"/>
          <w:kern w:val="0"/>
          <w:sz w:val="32"/>
          <w:szCs w:val="32"/>
          <w:lang w:val="en-US" w:eastAsia="zh-CN" w:bidi="ar-SA"/>
        </w:rPr>
        <w:t>《宁夏参保人员“双通道”管理药品用药申请表》（附件</w:t>
      </w:r>
      <w:r>
        <w:rPr>
          <w:rFonts w:hint="eastAsia" w:ascii="仿宋_GB2312" w:eastAsia="仿宋_GB2312" w:cs="宋体"/>
          <w:color w:val="000000"/>
          <w:kern w:val="0"/>
          <w:sz w:val="32"/>
          <w:szCs w:val="32"/>
          <w:lang w:val="en-US" w:eastAsia="zh-CN" w:bidi="ar-SA"/>
        </w:rPr>
        <w:t>7</w:t>
      </w:r>
      <w:r>
        <w:rPr>
          <w:rFonts w:hint="eastAsia" w:ascii="仿宋_GB2312" w:hAnsi="宋体" w:eastAsia="仿宋_GB2312" w:cs="宋体"/>
          <w:color w:val="000000"/>
          <w:kern w:val="0"/>
          <w:sz w:val="32"/>
          <w:szCs w:val="32"/>
          <w:lang w:val="en-US" w:eastAsia="zh-CN" w:bidi="ar-SA"/>
        </w:rPr>
        <w:t>）</w:t>
      </w:r>
      <w:r>
        <w:rPr>
          <w:rFonts w:hint="eastAsia" w:ascii="仿宋_GB2312" w:eastAsia="仿宋_GB2312" w:cs="宋体"/>
          <w:color w:val="000000"/>
          <w:kern w:val="0"/>
          <w:sz w:val="32"/>
          <w:szCs w:val="32"/>
          <w:lang w:val="en-US" w:eastAsia="zh-CN" w:bidi="ar-SA"/>
        </w:rPr>
        <w:t>，将患者相关病列资料（</w:t>
      </w:r>
      <w:r>
        <w:rPr>
          <w:rFonts w:hint="eastAsia" w:ascii="仿宋_GB2312" w:hAnsi="宋体" w:eastAsia="仿宋_GB2312" w:cs="宋体"/>
          <w:color w:val="000000"/>
          <w:kern w:val="0"/>
          <w:sz w:val="32"/>
          <w:szCs w:val="32"/>
          <w:lang w:val="en-US" w:eastAsia="zh-CN" w:bidi="ar-SA"/>
        </w:rPr>
        <w:t>门诊病历、住院病历、实验室检查、影像报告、病理诊断等</w:t>
      </w:r>
      <w:r>
        <w:rPr>
          <w:rFonts w:hint="eastAsia" w:ascii="仿宋_GB2312" w:eastAsia="仿宋_GB2312" w:cs="宋体"/>
          <w:color w:val="000000"/>
          <w:kern w:val="0"/>
          <w:sz w:val="32"/>
          <w:szCs w:val="32"/>
          <w:lang w:val="en-US" w:eastAsia="zh-CN" w:bidi="ar-SA"/>
        </w:rPr>
        <w:t>）、用药计划及药品处方信息通过医疗机构HIS系统提交至医疗机构医保办进行审核。</w:t>
      </w:r>
    </w:p>
    <w:p w14:paraId="27C4A493">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（二）审核。</w:t>
      </w:r>
      <w:r>
        <w:rPr>
          <w:rFonts w:hint="eastAsia" w:ascii="仿宋_GB2312" w:eastAsia="仿宋_GB2312" w:cs="宋体"/>
          <w:color w:val="000000"/>
          <w:kern w:val="0"/>
          <w:sz w:val="32"/>
          <w:szCs w:val="32"/>
          <w:lang w:val="en-US" w:eastAsia="zh-CN" w:bidi="ar-SA"/>
        </w:rPr>
        <w:t>定点医疗机构</w:t>
      </w:r>
      <w:r>
        <w:rPr>
          <w:rFonts w:hint="eastAsia" w:ascii="仿宋_GB2312" w:hAnsi="宋体" w:eastAsia="仿宋_GB2312" w:cs="宋体"/>
          <w:color w:val="000000"/>
          <w:kern w:val="0"/>
          <w:sz w:val="32"/>
          <w:szCs w:val="32"/>
          <w:lang w:val="en-US" w:eastAsia="zh-CN" w:bidi="ar-SA"/>
        </w:rPr>
        <w:t>设置</w:t>
      </w:r>
      <w:r>
        <w:rPr>
          <w:rFonts w:hint="eastAsia" w:ascii="仿宋_GB2312" w:eastAsia="仿宋_GB2312" w:cs="宋体"/>
          <w:color w:val="000000"/>
          <w:kern w:val="0"/>
          <w:sz w:val="32"/>
          <w:szCs w:val="32"/>
          <w:lang w:val="en-US" w:eastAsia="zh-CN" w:bidi="ar-SA"/>
        </w:rPr>
        <w:t>相关</w:t>
      </w:r>
      <w:r>
        <w:rPr>
          <w:rFonts w:hint="eastAsia" w:ascii="仿宋_GB2312" w:hAnsi="宋体" w:eastAsia="仿宋_GB2312" w:cs="宋体"/>
          <w:color w:val="000000"/>
          <w:kern w:val="0"/>
          <w:sz w:val="32"/>
          <w:szCs w:val="32"/>
          <w:lang w:val="en-US" w:eastAsia="zh-CN" w:bidi="ar-SA"/>
        </w:rPr>
        <w:t>人员对</w:t>
      </w:r>
      <w:r>
        <w:rPr>
          <w:rFonts w:hint="eastAsia" w:ascii="仿宋_GB2312" w:eastAsia="仿宋_GB2312" w:cs="宋体"/>
          <w:color w:val="000000"/>
          <w:kern w:val="0"/>
          <w:sz w:val="32"/>
          <w:szCs w:val="32"/>
          <w:lang w:val="en-US" w:eastAsia="zh-CN" w:bidi="ar-SA"/>
        </w:rPr>
        <w:t>申报</w:t>
      </w:r>
      <w:r>
        <w:rPr>
          <w:rFonts w:hint="eastAsia" w:ascii="仿宋_GB2312" w:hAnsi="宋体" w:eastAsia="仿宋_GB2312" w:cs="宋体"/>
          <w:color w:val="000000"/>
          <w:kern w:val="0"/>
          <w:sz w:val="32"/>
          <w:szCs w:val="32"/>
          <w:lang w:val="en-US" w:eastAsia="zh-CN" w:bidi="ar-SA"/>
        </w:rPr>
        <w:t>资料进行审核，符合政策规定的</w:t>
      </w:r>
      <w:r>
        <w:rPr>
          <w:rFonts w:hint="eastAsia" w:ascii="仿宋_GB2312" w:eastAsia="仿宋_GB2312" w:cs="宋体"/>
          <w:color w:val="000000"/>
          <w:kern w:val="0"/>
          <w:sz w:val="32"/>
          <w:szCs w:val="32"/>
          <w:lang w:val="en-US" w:eastAsia="zh-CN" w:bidi="ar-SA"/>
        </w:rPr>
        <w:t>，</w:t>
      </w:r>
      <w:r>
        <w:rPr>
          <w:rFonts w:hint="eastAsia" w:ascii="仿宋_GB2312" w:hAnsi="宋体" w:eastAsia="仿宋_GB2312" w:cs="宋体"/>
          <w:color w:val="000000"/>
          <w:kern w:val="0"/>
          <w:sz w:val="32"/>
          <w:szCs w:val="32"/>
          <w:lang w:val="en-US" w:eastAsia="zh-CN" w:bidi="ar-SA"/>
        </w:rPr>
        <w:t>由医保办</w:t>
      </w:r>
      <w:r>
        <w:rPr>
          <w:rFonts w:hint="eastAsia" w:ascii="仿宋_GB2312" w:eastAsia="仿宋_GB2312" w:cs="宋体"/>
          <w:color w:val="000000"/>
          <w:kern w:val="0"/>
          <w:sz w:val="32"/>
          <w:szCs w:val="32"/>
          <w:lang w:val="en-US" w:eastAsia="zh-CN" w:bidi="ar-SA"/>
        </w:rPr>
        <w:t>对使用“双通道”药品的患者进行人员标识，</w:t>
      </w:r>
      <w:r>
        <w:rPr>
          <w:rFonts w:hint="eastAsia" w:ascii="仿宋_GB2312" w:hAnsi="宋体" w:eastAsia="仿宋_GB2312" w:cs="宋体"/>
          <w:color w:val="000000"/>
          <w:kern w:val="0"/>
          <w:sz w:val="32"/>
          <w:szCs w:val="32"/>
          <w:lang w:val="en-US" w:eastAsia="zh-CN" w:bidi="ar-SA"/>
        </w:rPr>
        <w:t>不符合规定的予以退回。原则上医保办对</w:t>
      </w:r>
      <w:r>
        <w:rPr>
          <w:rFonts w:hint="eastAsia" w:ascii="仿宋_GB2312" w:eastAsia="仿宋_GB2312" w:cs="宋体"/>
          <w:color w:val="000000"/>
          <w:kern w:val="0"/>
          <w:sz w:val="32"/>
          <w:szCs w:val="32"/>
          <w:lang w:val="en-US" w:eastAsia="zh-CN" w:bidi="ar-SA"/>
        </w:rPr>
        <w:t>责任医师</w:t>
      </w:r>
      <w:r>
        <w:rPr>
          <w:rFonts w:hint="eastAsia" w:ascii="仿宋_GB2312" w:hAnsi="宋体" w:eastAsia="仿宋_GB2312" w:cs="宋体"/>
          <w:color w:val="000000"/>
          <w:kern w:val="0"/>
          <w:sz w:val="32"/>
          <w:szCs w:val="32"/>
          <w:lang w:val="en-US" w:eastAsia="zh-CN" w:bidi="ar-SA"/>
        </w:rPr>
        <w:t>提交的资料应即时审核，最长不超过1个工作日。</w:t>
      </w:r>
    </w:p>
    <w:p w14:paraId="46D9CC22">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（三）备案</w:t>
      </w:r>
      <w:r>
        <w:rPr>
          <w:rFonts w:hint="eastAsia" w:ascii="仿宋_GB2312" w:eastAsia="仿宋_GB2312" w:cs="宋体"/>
          <w:color w:val="000000"/>
          <w:kern w:val="0"/>
          <w:sz w:val="32"/>
          <w:szCs w:val="32"/>
          <w:lang w:val="en-US" w:eastAsia="zh-CN" w:bidi="ar-SA"/>
        </w:rPr>
        <w:t>及处方流转</w:t>
      </w:r>
      <w:r>
        <w:rPr>
          <w:rFonts w:hint="eastAsia" w:ascii="仿宋_GB2312" w:hAnsi="宋体" w:eastAsia="仿宋_GB2312" w:cs="宋体"/>
          <w:color w:val="000000"/>
          <w:kern w:val="0"/>
          <w:sz w:val="32"/>
          <w:szCs w:val="32"/>
          <w:lang w:val="en-US" w:eastAsia="zh-CN" w:bidi="ar-SA"/>
        </w:rPr>
        <w:t>。每日下午5点之前，</w:t>
      </w:r>
      <w:r>
        <w:rPr>
          <w:rFonts w:hint="eastAsia" w:ascii="仿宋_GB2312" w:eastAsia="仿宋_GB2312" w:cs="宋体"/>
          <w:color w:val="000000"/>
          <w:kern w:val="0"/>
          <w:sz w:val="32"/>
          <w:szCs w:val="32"/>
          <w:lang w:val="en-US" w:eastAsia="zh-CN" w:bidi="ar-SA"/>
        </w:rPr>
        <w:t>定点医疗机构应</w:t>
      </w:r>
      <w:r>
        <w:rPr>
          <w:rFonts w:hint="eastAsia" w:ascii="仿宋_GB2312" w:hAnsi="宋体" w:eastAsia="仿宋_GB2312" w:cs="宋体"/>
          <w:color w:val="000000"/>
          <w:kern w:val="0"/>
          <w:sz w:val="32"/>
          <w:szCs w:val="32"/>
          <w:lang w:val="en-US" w:eastAsia="zh-CN" w:bidi="ar-SA"/>
        </w:rPr>
        <w:t>将当天审核通过的信息</w:t>
      </w:r>
      <w:r>
        <w:rPr>
          <w:rFonts w:hint="eastAsia" w:ascii="仿宋_GB2312" w:eastAsia="仿宋_GB2312" w:cs="宋体"/>
          <w:color w:val="000000"/>
          <w:kern w:val="0"/>
          <w:sz w:val="32"/>
          <w:szCs w:val="32"/>
          <w:lang w:val="en-US" w:eastAsia="zh-CN" w:bidi="ar-SA"/>
        </w:rPr>
        <w:t>通过医保处方流转平台</w:t>
      </w:r>
      <w:r>
        <w:rPr>
          <w:rFonts w:hint="eastAsia" w:ascii="仿宋_GB2312" w:hAnsi="宋体" w:eastAsia="仿宋_GB2312" w:cs="宋体"/>
          <w:color w:val="000000"/>
          <w:kern w:val="0"/>
          <w:sz w:val="32"/>
          <w:szCs w:val="32"/>
          <w:lang w:val="en-US" w:eastAsia="zh-CN" w:bidi="ar-SA"/>
        </w:rPr>
        <w:t>上传至当地医保经办机构</w:t>
      </w:r>
      <w:r>
        <w:rPr>
          <w:rFonts w:hint="eastAsia" w:ascii="仿宋_GB2312" w:eastAsia="仿宋_GB2312" w:cs="宋体"/>
          <w:color w:val="000000"/>
          <w:kern w:val="0"/>
          <w:sz w:val="32"/>
          <w:szCs w:val="32"/>
          <w:lang w:val="en-US" w:eastAsia="zh-CN" w:bidi="ar-SA"/>
        </w:rPr>
        <w:t>备案</w:t>
      </w:r>
      <w:r>
        <w:rPr>
          <w:rFonts w:hint="eastAsia" w:ascii="仿宋_GB2312" w:hAnsi="宋体" w:eastAsia="仿宋_GB2312" w:cs="宋体"/>
          <w:color w:val="000000"/>
          <w:kern w:val="0"/>
          <w:sz w:val="32"/>
          <w:szCs w:val="32"/>
          <w:lang w:val="en-US" w:eastAsia="zh-CN" w:bidi="ar-SA"/>
        </w:rPr>
        <w:t>。</w:t>
      </w:r>
      <w:r>
        <w:rPr>
          <w:rFonts w:hint="eastAsia" w:ascii="仿宋_GB2312" w:eastAsia="仿宋_GB2312" w:cs="宋体"/>
          <w:color w:val="000000"/>
          <w:kern w:val="0"/>
          <w:sz w:val="32"/>
          <w:szCs w:val="32"/>
          <w:lang w:val="en-US" w:eastAsia="zh-CN" w:bidi="ar-SA"/>
        </w:rPr>
        <w:t>定点医疗机构无所需谈判药品的，定点医疗机构医保办将处方流转至定点零售药店。</w:t>
      </w:r>
    </w:p>
    <w:p w14:paraId="10F637CA">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第十四条 跨省异地就医长期备案和转诊转院备案人员，在自治区外定点医药机构使用谈判药品的，到参保地经办机构或通过“我的宁夏”政务APP、宁夏医疗保障微信公众号等下载《宁夏参保人员跨省“双通道”管理药品用药申请表》（附件8），并办理谈判药品使用备案。</w:t>
      </w:r>
    </w:p>
    <w:p w14:paraId="6DFF835E">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w:t>
      </w:r>
      <w:r>
        <w:rPr>
          <w:rFonts w:hint="eastAsia" w:ascii="仿宋_GB2312" w:eastAsia="仿宋_GB2312" w:cs="宋体"/>
          <w:color w:val="000000"/>
          <w:kern w:val="0"/>
          <w:sz w:val="32"/>
          <w:szCs w:val="32"/>
          <w:lang w:val="en-US" w:eastAsia="zh-CN" w:bidi="ar-SA"/>
        </w:rPr>
        <w:t>五</w:t>
      </w:r>
      <w:r>
        <w:rPr>
          <w:rFonts w:hint="eastAsia" w:ascii="仿宋_GB2312" w:hAnsi="宋体" w:eastAsia="仿宋_GB2312" w:cs="宋体"/>
          <w:color w:val="000000"/>
          <w:kern w:val="0"/>
          <w:sz w:val="32"/>
          <w:szCs w:val="32"/>
          <w:lang w:val="en-US" w:eastAsia="zh-CN" w:bidi="ar-SA"/>
        </w:rPr>
        <w:t>条 谈判药品购取药。参保患者在纳入“</w:t>
      </w:r>
      <w:r>
        <w:rPr>
          <w:rFonts w:hint="eastAsia" w:ascii="仿宋_GB2312" w:eastAsia="仿宋_GB2312" w:cs="宋体"/>
          <w:color w:val="000000"/>
          <w:kern w:val="0"/>
          <w:sz w:val="32"/>
          <w:szCs w:val="32"/>
          <w:lang w:val="en-US" w:eastAsia="zh-CN" w:bidi="ar-SA"/>
        </w:rPr>
        <w:t>双通道</w:t>
      </w:r>
      <w:r>
        <w:rPr>
          <w:rFonts w:hint="eastAsia" w:ascii="仿宋_GB2312" w:hAnsi="宋体" w:eastAsia="仿宋_GB2312" w:cs="宋体"/>
          <w:color w:val="000000"/>
          <w:kern w:val="0"/>
          <w:sz w:val="32"/>
          <w:szCs w:val="32"/>
          <w:lang w:val="en-US" w:eastAsia="zh-CN" w:bidi="ar-SA"/>
        </w:rPr>
        <w:t>”管理的医疗机构住院或门诊就医时，参保患者凭责任医师开具的电子处方，持医保电子凭证（或有效身份证件、社保卡）至谈判药品定点医药机构购药。</w:t>
      </w:r>
    </w:p>
    <w:p w14:paraId="41E46AB8">
      <w:pPr>
        <w:pStyle w:val="4"/>
        <w:spacing w:before="0" w:beforeAutospacing="0" w:after="0" w:afterAutospacing="0" w:line="560" w:lineRule="exact"/>
        <w:ind w:firstLine="640" w:firstLineChars="200"/>
        <w:rPr>
          <w:rFonts w:hint="eastAsia" w:ascii="仿宋_GB2312" w:hAnsi="宋体" w:eastAsia="仿宋_GB2312" w:cs="宋体"/>
          <w:color w:val="0000FF"/>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住院购取药：（1）定点医疗机构有所需谈判药品的，按正常配药流程配送给患者。（2）定点医疗机构无所需谈判药品需要通过定点零售药店购买使用的，由定点医疗机构责任医师将处方及患者病例资料提交定点医疗机构医保办进行审核，审核通过后，由医保办通过医保处方流转平台将处方流转至定点零售药店，由定点零售药店直接将药品配送至定点医疗机构，无需住院参保患者前往定点零售药店购买药品。</w:t>
      </w:r>
    </w:p>
    <w:p w14:paraId="1B7CC47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门诊购取药：①定点医疗机构有所需谈判药品的，责任医师按规定开具处方，参保患者按规定在定点医疗机构购药实行直接结算。②定点医疗机构无所需谈判药品需要通过定点零售药店购买使用的，由责任医师将处方及患者病例资料提交定点医疗机构医保办进行审核，审核通过后，由医保办医保处方流转平台将处方流转至定点零售药店，参保患者到医疗机构定点零售药店购药实行直接结算。</w:t>
      </w:r>
      <w:r>
        <w:rPr>
          <w:rFonts w:hint="eastAsia" w:ascii="仿宋_GB2312" w:eastAsia="仿宋_GB2312" w:cs="宋体"/>
          <w:color w:val="000000"/>
          <w:kern w:val="0"/>
          <w:sz w:val="32"/>
          <w:szCs w:val="32"/>
          <w:lang w:val="en-US" w:eastAsia="zh-CN" w:bidi="ar-SA"/>
        </w:rPr>
        <w:t>鼓励定点医药机构开展快递服务。</w:t>
      </w:r>
    </w:p>
    <w:p w14:paraId="18CECEE3">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w:t>
      </w:r>
      <w:r>
        <w:rPr>
          <w:rFonts w:hint="eastAsia" w:ascii="仿宋_GB2312" w:eastAsia="仿宋_GB2312" w:cs="宋体"/>
          <w:color w:val="000000"/>
          <w:kern w:val="0"/>
          <w:sz w:val="32"/>
          <w:szCs w:val="32"/>
          <w:lang w:val="en-US" w:eastAsia="zh-CN" w:bidi="ar-SA"/>
        </w:rPr>
        <w:t>六</w:t>
      </w:r>
      <w:r>
        <w:rPr>
          <w:rFonts w:hint="eastAsia" w:ascii="仿宋_GB2312" w:hAnsi="宋体" w:eastAsia="仿宋_GB2312" w:cs="宋体"/>
          <w:color w:val="000000"/>
          <w:kern w:val="0"/>
          <w:sz w:val="32"/>
          <w:szCs w:val="32"/>
          <w:lang w:val="en-US" w:eastAsia="zh-CN" w:bidi="ar-SA"/>
        </w:rPr>
        <w:t>条 谈判药品费用结算。参保患者在门诊或住院期间使用“双通道”谈判药品的，按照自治区统一的谈判药品支付政策执行；参保患者通过定点医药机构“双通道”购买使用谈判药品时，只需支付个人支付部分的药品费用。谈判药品年度最高支付限额与基金年度最高支付限额捆绑使用。</w:t>
      </w:r>
    </w:p>
    <w:p w14:paraId="201610CE">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住院结算：参保人员在定点医疗机构住院使用谈判药品时，医保统筹基金支付的部分由医保经办机构与定点医疗机构进行结算；定点医疗机构与处方流转的定点零售药店按月进行对账，并在次月10日前及时结算上月谈判药品货款。</w:t>
      </w:r>
    </w:p>
    <w:p w14:paraId="2652D202">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门诊结算：参保人员通过定点医疗机构门诊购买使用谈判药品时，医保统筹基金支付的部分由医保经办机构与定点医疗机构进行结算；通过医保处方流转平台在定点零售药店购买使用谈判药品时，医保统筹基金支付的部分由医保经办机构与定点零售药店进行结算。</w:t>
      </w:r>
      <w:r>
        <w:rPr>
          <w:rFonts w:hint="eastAsia" w:ascii="仿宋_GB2312" w:eastAsia="仿宋_GB2312" w:cs="宋体"/>
          <w:color w:val="000000"/>
          <w:kern w:val="0"/>
          <w:sz w:val="32"/>
          <w:szCs w:val="32"/>
          <w:lang w:val="en-US" w:eastAsia="zh-CN" w:bidi="ar-SA"/>
        </w:rPr>
        <w:t>鼓励各地探索开展便民自助结算服务。</w:t>
      </w:r>
    </w:p>
    <w:p w14:paraId="7AD14CCB">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w:t>
      </w:r>
      <w:r>
        <w:rPr>
          <w:rFonts w:hint="eastAsia" w:ascii="仿宋_GB2312" w:eastAsia="仿宋_GB2312" w:cs="宋体"/>
          <w:color w:val="000000"/>
          <w:kern w:val="0"/>
          <w:sz w:val="32"/>
          <w:szCs w:val="32"/>
          <w:lang w:val="en-US" w:eastAsia="zh-CN" w:bidi="ar-SA"/>
        </w:rPr>
        <w:t>七</w:t>
      </w:r>
      <w:r>
        <w:rPr>
          <w:rFonts w:hint="eastAsia" w:ascii="仿宋_GB2312" w:hAnsi="宋体" w:eastAsia="仿宋_GB2312" w:cs="宋体"/>
          <w:color w:val="000000"/>
          <w:kern w:val="0"/>
          <w:sz w:val="32"/>
          <w:szCs w:val="32"/>
          <w:lang w:val="en-US" w:eastAsia="zh-CN" w:bidi="ar-SA"/>
        </w:rPr>
        <w:t>条 自治区内谈判药品定点医药机构应当实时向当地医保部门上传参保患者购药时间、开取药量等信息</w:t>
      </w:r>
      <w:r>
        <w:rPr>
          <w:rFonts w:hint="eastAsia" w:ascii="仿宋_GB2312" w:eastAsia="仿宋_GB2312" w:cs="宋体"/>
          <w:color w:val="000000"/>
          <w:kern w:val="0"/>
          <w:sz w:val="32"/>
          <w:szCs w:val="32"/>
          <w:lang w:val="en-US" w:eastAsia="zh-CN" w:bidi="ar-SA"/>
        </w:rPr>
        <w:t>。定点零售药店应对及时维护药店地址、联系电话、谈判药品储备及存量等信息，方便参保人员就近购药。</w:t>
      </w:r>
    </w:p>
    <w:p w14:paraId="6E846342">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w:t>
      </w:r>
      <w:r>
        <w:rPr>
          <w:rFonts w:hint="eastAsia" w:ascii="仿宋_GB2312" w:eastAsia="仿宋_GB2312" w:cs="宋体"/>
          <w:color w:val="000000"/>
          <w:kern w:val="0"/>
          <w:sz w:val="32"/>
          <w:szCs w:val="32"/>
          <w:lang w:val="en-US" w:eastAsia="zh-CN" w:bidi="ar-SA"/>
        </w:rPr>
        <w:t>八条</w:t>
      </w:r>
      <w:r>
        <w:rPr>
          <w:rFonts w:hint="eastAsia" w:ascii="仿宋_GB2312" w:hAnsi="宋体" w:eastAsia="仿宋_GB2312" w:cs="宋体"/>
          <w:color w:val="000000"/>
          <w:kern w:val="0"/>
          <w:sz w:val="32"/>
          <w:szCs w:val="32"/>
          <w:lang w:val="en-US" w:eastAsia="zh-CN" w:bidi="ar-SA"/>
        </w:rPr>
        <w:t xml:space="preserve"> 参保患者自治区内</w:t>
      </w:r>
      <w:r>
        <w:rPr>
          <w:rFonts w:hint="eastAsia" w:ascii="仿宋_GB2312" w:eastAsia="仿宋_GB2312" w:cs="宋体"/>
          <w:color w:val="000000"/>
          <w:kern w:val="0"/>
          <w:sz w:val="32"/>
          <w:szCs w:val="32"/>
          <w:lang w:val="en-US" w:eastAsia="zh-CN" w:bidi="ar-SA"/>
        </w:rPr>
        <w:t>跨统筹地区</w:t>
      </w:r>
      <w:r>
        <w:rPr>
          <w:rFonts w:hint="eastAsia" w:ascii="仿宋_GB2312" w:hAnsi="宋体" w:eastAsia="仿宋_GB2312" w:cs="宋体"/>
          <w:color w:val="000000"/>
          <w:kern w:val="0"/>
          <w:sz w:val="32"/>
          <w:szCs w:val="32"/>
          <w:lang w:val="en-US" w:eastAsia="zh-CN" w:bidi="ar-SA"/>
        </w:rPr>
        <w:t xml:space="preserve">使用“双通道”谈判药品发生的符合规定的费用，纳入异地就医直接结算。 </w:t>
      </w:r>
    </w:p>
    <w:p w14:paraId="4FC60058">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第十</w:t>
      </w:r>
      <w:r>
        <w:rPr>
          <w:rFonts w:hint="eastAsia" w:ascii="仿宋_GB2312" w:eastAsia="仿宋_GB2312" w:cs="宋体"/>
          <w:color w:val="000000"/>
          <w:kern w:val="0"/>
          <w:sz w:val="32"/>
          <w:szCs w:val="32"/>
          <w:lang w:val="en-US" w:eastAsia="zh-CN" w:bidi="ar-SA"/>
        </w:rPr>
        <w:t>九</w:t>
      </w:r>
      <w:r>
        <w:rPr>
          <w:rFonts w:hint="eastAsia" w:ascii="仿宋_GB2312" w:hAnsi="宋体" w:eastAsia="仿宋_GB2312" w:cs="宋体"/>
          <w:color w:val="000000"/>
          <w:kern w:val="0"/>
          <w:sz w:val="32"/>
          <w:szCs w:val="32"/>
          <w:lang w:val="en-US" w:eastAsia="zh-CN" w:bidi="ar-SA"/>
        </w:rPr>
        <w:t xml:space="preserve">条 </w:t>
      </w:r>
      <w:r>
        <w:rPr>
          <w:rFonts w:hint="eastAsia" w:ascii="仿宋_GB2312" w:eastAsia="仿宋_GB2312" w:cs="宋体"/>
          <w:color w:val="000000"/>
          <w:kern w:val="0"/>
          <w:sz w:val="32"/>
          <w:szCs w:val="32"/>
          <w:lang w:val="en-US" w:eastAsia="zh-CN" w:bidi="ar-SA"/>
        </w:rPr>
        <w:t>跨省</w:t>
      </w:r>
      <w:r>
        <w:rPr>
          <w:rFonts w:hint="eastAsia" w:ascii="仿宋_GB2312" w:hAnsi="宋体" w:eastAsia="仿宋_GB2312" w:cs="宋体"/>
          <w:color w:val="000000"/>
          <w:kern w:val="0"/>
          <w:sz w:val="32"/>
          <w:szCs w:val="32"/>
          <w:lang w:val="en-US" w:eastAsia="zh-CN" w:bidi="ar-SA"/>
        </w:rPr>
        <w:t>异地手工报销。办理跨省异地就医</w:t>
      </w:r>
      <w:r>
        <w:rPr>
          <w:rFonts w:hint="eastAsia" w:ascii="仿宋_GB2312" w:eastAsia="仿宋_GB2312" w:cs="宋体"/>
          <w:color w:val="000000"/>
          <w:kern w:val="0"/>
          <w:sz w:val="32"/>
          <w:szCs w:val="32"/>
          <w:lang w:val="en-US" w:eastAsia="zh-CN" w:bidi="ar-SA"/>
        </w:rPr>
        <w:t>长期</w:t>
      </w:r>
      <w:r>
        <w:rPr>
          <w:rFonts w:hint="eastAsia" w:ascii="仿宋_GB2312" w:hAnsi="宋体" w:eastAsia="仿宋_GB2312" w:cs="宋体"/>
          <w:color w:val="000000"/>
          <w:kern w:val="0"/>
          <w:sz w:val="32"/>
          <w:szCs w:val="32"/>
          <w:lang w:val="en-US" w:eastAsia="zh-CN" w:bidi="ar-SA"/>
        </w:rPr>
        <w:t>备案</w:t>
      </w:r>
      <w:r>
        <w:rPr>
          <w:rFonts w:hint="eastAsia" w:ascii="仿宋_GB2312" w:eastAsia="仿宋_GB2312" w:cs="宋体"/>
          <w:color w:val="000000"/>
          <w:kern w:val="0"/>
          <w:sz w:val="32"/>
          <w:szCs w:val="32"/>
          <w:lang w:val="en-US" w:eastAsia="zh-CN" w:bidi="ar-SA"/>
        </w:rPr>
        <w:t>（或转诊转院备案）</w:t>
      </w:r>
      <w:r>
        <w:rPr>
          <w:rFonts w:hint="eastAsia" w:ascii="仿宋_GB2312" w:hAnsi="宋体" w:eastAsia="仿宋_GB2312" w:cs="宋体"/>
          <w:color w:val="000000"/>
          <w:kern w:val="0"/>
          <w:sz w:val="32"/>
          <w:szCs w:val="32"/>
          <w:lang w:val="en-US" w:eastAsia="zh-CN" w:bidi="ar-SA"/>
        </w:rPr>
        <w:t>且按照规定使用谈判药品的参保患者，在备案的定点医疗机构或定点零售药店购买协议期内谈判药品的，凭《宁夏参保人员</w:t>
      </w:r>
      <w:r>
        <w:rPr>
          <w:rFonts w:hint="eastAsia" w:ascii="仿宋_GB2312" w:eastAsia="仿宋_GB2312" w:cs="宋体"/>
          <w:color w:val="000000"/>
          <w:kern w:val="0"/>
          <w:sz w:val="32"/>
          <w:szCs w:val="32"/>
          <w:lang w:val="en-US" w:eastAsia="zh-CN" w:bidi="ar-SA"/>
        </w:rPr>
        <w:t>跨省</w:t>
      </w:r>
      <w:r>
        <w:rPr>
          <w:rFonts w:hint="eastAsia" w:ascii="仿宋_GB2312" w:hAnsi="宋体" w:eastAsia="仿宋_GB2312" w:cs="宋体"/>
          <w:color w:val="000000"/>
          <w:kern w:val="0"/>
          <w:sz w:val="32"/>
          <w:szCs w:val="32"/>
          <w:lang w:val="en-US" w:eastAsia="zh-CN" w:bidi="ar-SA"/>
        </w:rPr>
        <w:t>“双通道”管理药品用药申请表》，本人社保卡（需开通金融功能，若无社保卡或社保卡未激活金融功能需提供本人身份证及银行卡）、疾病证明材料（出院记录或出院小结、门诊病历或疾病诊断证明、双通道药品处方等）、原始发票（含电子发票）、费用明细清单回参保地经办机构</w:t>
      </w:r>
      <w:r>
        <w:rPr>
          <w:rFonts w:hint="eastAsia" w:ascii="仿宋_GB2312" w:eastAsia="仿宋_GB2312" w:cs="宋体"/>
          <w:color w:val="000000"/>
          <w:kern w:val="0"/>
          <w:sz w:val="32"/>
          <w:szCs w:val="32"/>
          <w:lang w:val="en-US" w:eastAsia="zh-CN" w:bidi="ar-SA"/>
        </w:rPr>
        <w:t>或通过</w:t>
      </w:r>
      <w:r>
        <w:rPr>
          <w:rFonts w:hint="eastAsia" w:ascii="仿宋_GB2312" w:hAnsi="宋体" w:eastAsia="仿宋_GB2312" w:cs="宋体"/>
          <w:color w:val="000000"/>
          <w:kern w:val="0"/>
          <w:sz w:val="32"/>
          <w:szCs w:val="32"/>
          <w:lang w:val="en-US" w:eastAsia="zh-CN" w:bidi="ar-SA"/>
        </w:rPr>
        <w:t>“我的宁夏”政务APP、宁夏医疗保障微信公众号</w:t>
      </w:r>
      <w:r>
        <w:rPr>
          <w:rFonts w:hint="eastAsia" w:ascii="仿宋_GB2312" w:eastAsia="仿宋_GB2312" w:cs="宋体"/>
          <w:color w:val="000000"/>
          <w:kern w:val="0"/>
          <w:sz w:val="32"/>
          <w:szCs w:val="32"/>
          <w:lang w:val="en-US" w:eastAsia="zh-CN" w:bidi="ar-SA"/>
        </w:rPr>
        <w:t>等渠道办理医疗费用报销手续，跨省谈判药品“双通道”医疗费用</w:t>
      </w:r>
      <w:r>
        <w:rPr>
          <w:rFonts w:hint="eastAsia" w:ascii="仿宋_GB2312" w:hAnsi="宋体" w:eastAsia="仿宋_GB2312" w:cs="宋体"/>
          <w:color w:val="000000"/>
          <w:kern w:val="0"/>
          <w:sz w:val="32"/>
          <w:szCs w:val="32"/>
          <w:lang w:val="en-US" w:eastAsia="zh-CN" w:bidi="ar-SA"/>
        </w:rPr>
        <w:t>按照我区谈判药品支付政策报销。</w:t>
      </w:r>
    </w:p>
    <w:p w14:paraId="09F0C0A7">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w:t>
      </w:r>
      <w:r>
        <w:rPr>
          <w:rFonts w:hint="eastAsia" w:ascii="仿宋_GB2312" w:eastAsia="仿宋_GB2312" w:cs="宋体"/>
          <w:color w:val="000000"/>
          <w:kern w:val="0"/>
          <w:sz w:val="32"/>
          <w:szCs w:val="32"/>
          <w:lang w:val="en-US" w:eastAsia="zh-CN" w:bidi="ar-SA"/>
        </w:rPr>
        <w:t>二十</w:t>
      </w:r>
      <w:r>
        <w:rPr>
          <w:rFonts w:hint="eastAsia" w:ascii="仿宋_GB2312" w:hAnsi="宋体" w:eastAsia="仿宋_GB2312" w:cs="宋体"/>
          <w:color w:val="000000"/>
          <w:kern w:val="0"/>
          <w:sz w:val="32"/>
          <w:szCs w:val="32"/>
          <w:lang w:val="en-US" w:eastAsia="zh-CN" w:bidi="ar-SA"/>
        </w:rPr>
        <w:t>条 跨省异地就医住院患者，</w:t>
      </w:r>
      <w:r>
        <w:rPr>
          <w:rFonts w:hint="eastAsia" w:ascii="仿宋_GB2312" w:eastAsia="仿宋_GB2312" w:cs="宋体"/>
          <w:color w:val="000000"/>
          <w:kern w:val="0"/>
          <w:sz w:val="32"/>
          <w:szCs w:val="32"/>
          <w:lang w:val="en-US" w:eastAsia="zh-CN" w:bidi="ar-SA"/>
        </w:rPr>
        <w:t>住院期间使用“双通道”药品的，</w:t>
      </w:r>
      <w:r>
        <w:rPr>
          <w:rFonts w:hint="eastAsia" w:ascii="仿宋_GB2312" w:hAnsi="宋体" w:eastAsia="仿宋_GB2312" w:cs="宋体"/>
          <w:color w:val="000000"/>
          <w:kern w:val="0"/>
          <w:sz w:val="32"/>
          <w:szCs w:val="32"/>
          <w:lang w:val="en-US" w:eastAsia="zh-CN" w:bidi="ar-SA"/>
        </w:rPr>
        <w:t>就医地</w:t>
      </w:r>
      <w:r>
        <w:rPr>
          <w:rFonts w:hint="eastAsia" w:ascii="仿宋_GB2312" w:eastAsia="仿宋_GB2312" w:cs="宋体"/>
          <w:color w:val="000000"/>
          <w:kern w:val="0"/>
          <w:sz w:val="32"/>
          <w:szCs w:val="32"/>
          <w:lang w:val="en-US" w:eastAsia="zh-CN" w:bidi="ar-SA"/>
        </w:rPr>
        <w:t>“双通道”</w:t>
      </w:r>
      <w:r>
        <w:rPr>
          <w:rFonts w:hint="eastAsia" w:ascii="仿宋_GB2312" w:hAnsi="宋体" w:eastAsia="仿宋_GB2312" w:cs="宋体"/>
          <w:color w:val="000000"/>
          <w:kern w:val="0"/>
          <w:sz w:val="32"/>
          <w:szCs w:val="32"/>
          <w:lang w:val="en-US" w:eastAsia="zh-CN" w:bidi="ar-SA"/>
        </w:rPr>
        <w:t>定点医疗机构不纳入本次住院费用的，可凭定点医疗机构出具的证明、外购处方及备案申请表回参保地</w:t>
      </w:r>
      <w:r>
        <w:rPr>
          <w:rFonts w:hint="eastAsia" w:ascii="仿宋_GB2312" w:eastAsia="仿宋_GB2312" w:cs="宋体"/>
          <w:color w:val="000000"/>
          <w:kern w:val="0"/>
          <w:sz w:val="32"/>
          <w:szCs w:val="32"/>
          <w:lang w:val="en-US" w:eastAsia="zh-CN" w:bidi="ar-SA"/>
        </w:rPr>
        <w:t>或通过</w:t>
      </w:r>
      <w:r>
        <w:rPr>
          <w:rFonts w:hint="eastAsia" w:ascii="仿宋_GB2312" w:hAnsi="宋体" w:eastAsia="仿宋_GB2312" w:cs="宋体"/>
          <w:color w:val="000000"/>
          <w:kern w:val="0"/>
          <w:sz w:val="32"/>
          <w:szCs w:val="32"/>
          <w:lang w:val="en-US" w:eastAsia="zh-CN" w:bidi="ar-SA"/>
        </w:rPr>
        <w:t>“我的宁夏”政务APP、宁夏医疗保障微信公众号</w:t>
      </w:r>
      <w:r>
        <w:rPr>
          <w:rFonts w:hint="eastAsia" w:ascii="仿宋_GB2312" w:eastAsia="仿宋_GB2312" w:cs="宋体"/>
          <w:color w:val="000000"/>
          <w:kern w:val="0"/>
          <w:sz w:val="32"/>
          <w:szCs w:val="32"/>
          <w:lang w:val="en-US" w:eastAsia="zh-CN" w:bidi="ar-SA"/>
        </w:rPr>
        <w:t>等渠道办理医疗费用报销手续</w:t>
      </w:r>
      <w:r>
        <w:rPr>
          <w:rFonts w:hint="eastAsia" w:ascii="仿宋_GB2312" w:hAnsi="宋体" w:eastAsia="仿宋_GB2312" w:cs="宋体"/>
          <w:color w:val="000000"/>
          <w:kern w:val="0"/>
          <w:sz w:val="32"/>
          <w:szCs w:val="32"/>
          <w:lang w:val="en-US" w:eastAsia="zh-CN" w:bidi="ar-SA"/>
        </w:rPr>
        <w:t>。</w:t>
      </w:r>
    </w:p>
    <w:p w14:paraId="4E99128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w:t>
      </w:r>
      <w:r>
        <w:rPr>
          <w:rFonts w:hint="eastAsia" w:ascii="仿宋_GB2312" w:eastAsia="仿宋_GB2312" w:cs="宋体"/>
          <w:color w:val="000000"/>
          <w:kern w:val="0"/>
          <w:sz w:val="32"/>
          <w:szCs w:val="32"/>
          <w:lang w:val="en-US" w:eastAsia="zh-CN" w:bidi="ar-SA"/>
        </w:rPr>
        <w:t>二十一</w:t>
      </w:r>
      <w:r>
        <w:rPr>
          <w:rFonts w:hint="eastAsia" w:ascii="仿宋_GB2312" w:hAnsi="宋体" w:eastAsia="仿宋_GB2312" w:cs="宋体"/>
          <w:color w:val="000000"/>
          <w:kern w:val="0"/>
          <w:sz w:val="32"/>
          <w:szCs w:val="32"/>
          <w:lang w:val="en-US" w:eastAsia="zh-CN" w:bidi="ar-SA"/>
        </w:rPr>
        <w:t>条</w:t>
      </w:r>
      <w:r>
        <w:rPr>
          <w:rFonts w:hint="eastAsia" w:ascii="仿宋_GB2312" w:eastAsia="仿宋_GB2312" w:cs="宋体"/>
          <w:color w:val="000000"/>
          <w:kern w:val="0"/>
          <w:sz w:val="32"/>
          <w:szCs w:val="32"/>
          <w:lang w:val="en-US" w:eastAsia="zh-CN" w:bidi="ar-SA"/>
        </w:rPr>
        <w:t xml:space="preserve"> </w:t>
      </w:r>
      <w:r>
        <w:rPr>
          <w:rFonts w:hint="eastAsia" w:ascii="仿宋_GB2312" w:hAnsi="宋体" w:eastAsia="仿宋_GB2312" w:cs="宋体"/>
          <w:color w:val="000000"/>
          <w:kern w:val="0"/>
          <w:sz w:val="32"/>
          <w:szCs w:val="32"/>
          <w:lang w:val="en-US" w:eastAsia="zh-CN" w:bidi="ar-SA"/>
        </w:rPr>
        <w:t>参保患者在</w:t>
      </w:r>
      <w:r>
        <w:rPr>
          <w:rFonts w:hint="eastAsia" w:ascii="仿宋_GB2312" w:eastAsia="仿宋_GB2312" w:cs="宋体"/>
          <w:color w:val="000000"/>
          <w:kern w:val="0"/>
          <w:sz w:val="32"/>
          <w:szCs w:val="32"/>
          <w:lang w:val="en-US" w:eastAsia="zh-CN" w:bidi="ar-SA"/>
        </w:rPr>
        <w:t>省外</w:t>
      </w:r>
      <w:r>
        <w:rPr>
          <w:rFonts w:hint="eastAsia" w:ascii="仿宋_GB2312" w:hAnsi="宋体" w:eastAsia="仿宋_GB2312" w:cs="宋体"/>
          <w:color w:val="000000"/>
          <w:kern w:val="0"/>
          <w:sz w:val="32"/>
          <w:szCs w:val="32"/>
          <w:lang w:val="en-US" w:eastAsia="zh-CN" w:bidi="ar-SA"/>
        </w:rPr>
        <w:t>非“</w:t>
      </w:r>
      <w:r>
        <w:rPr>
          <w:rFonts w:hint="eastAsia" w:ascii="仿宋_GB2312" w:eastAsia="仿宋_GB2312" w:cs="宋体"/>
          <w:color w:val="000000"/>
          <w:kern w:val="0"/>
          <w:sz w:val="32"/>
          <w:szCs w:val="32"/>
          <w:lang w:val="en-US" w:eastAsia="zh-CN" w:bidi="ar-SA"/>
        </w:rPr>
        <w:t>双通道</w:t>
      </w:r>
      <w:r>
        <w:rPr>
          <w:rFonts w:hint="eastAsia" w:ascii="仿宋_GB2312" w:hAnsi="宋体" w:eastAsia="仿宋_GB2312" w:cs="宋体"/>
          <w:color w:val="000000"/>
          <w:kern w:val="0"/>
          <w:sz w:val="32"/>
          <w:szCs w:val="32"/>
          <w:lang w:val="en-US" w:eastAsia="zh-CN" w:bidi="ar-SA"/>
        </w:rPr>
        <w:t>”管理的定点医疗机构使用谈判药品的，</w:t>
      </w:r>
      <w:r>
        <w:rPr>
          <w:rFonts w:hint="eastAsia" w:ascii="仿宋_GB2312" w:eastAsia="仿宋_GB2312" w:cs="宋体"/>
          <w:color w:val="000000"/>
          <w:kern w:val="0"/>
          <w:sz w:val="32"/>
          <w:szCs w:val="32"/>
          <w:lang w:val="en-US" w:eastAsia="zh-CN" w:bidi="ar-SA"/>
        </w:rPr>
        <w:t>不纳入“双通道”管理范围，</w:t>
      </w:r>
      <w:r>
        <w:rPr>
          <w:rFonts w:hint="eastAsia" w:ascii="仿宋_GB2312" w:hAnsi="宋体" w:eastAsia="仿宋_GB2312" w:cs="宋体"/>
          <w:color w:val="000000"/>
          <w:kern w:val="0"/>
          <w:sz w:val="32"/>
          <w:szCs w:val="32"/>
          <w:lang w:val="en-US" w:eastAsia="zh-CN" w:bidi="ar-SA"/>
        </w:rPr>
        <w:t>执行我区现行医保住院和门诊支付政策。</w:t>
      </w:r>
    </w:p>
    <w:p w14:paraId="22F1F2FB">
      <w:pPr>
        <w:pStyle w:val="4"/>
        <w:spacing w:before="0" w:beforeAutospacing="0" w:after="0" w:afterAutospacing="0" w:line="560" w:lineRule="exact"/>
        <w:ind w:firstLine="640" w:firstLineChars="200"/>
        <w:rPr>
          <w:rFonts w:hint="eastAsia" w:ascii="仿宋_GB2312"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w:t>
      </w:r>
      <w:r>
        <w:rPr>
          <w:rFonts w:hint="eastAsia" w:ascii="仿宋_GB2312" w:eastAsia="仿宋_GB2312" w:cs="宋体"/>
          <w:color w:val="000000"/>
          <w:kern w:val="0"/>
          <w:sz w:val="32"/>
          <w:szCs w:val="32"/>
          <w:lang w:val="en-US" w:eastAsia="zh-CN" w:bidi="ar-SA"/>
        </w:rPr>
        <w:t>二十二</w:t>
      </w:r>
      <w:r>
        <w:rPr>
          <w:rFonts w:hint="eastAsia" w:ascii="仿宋_GB2312" w:hAnsi="宋体" w:eastAsia="仿宋_GB2312" w:cs="宋体"/>
          <w:color w:val="000000"/>
          <w:kern w:val="0"/>
          <w:sz w:val="32"/>
          <w:szCs w:val="32"/>
          <w:lang w:val="en-US" w:eastAsia="zh-CN" w:bidi="ar-SA"/>
        </w:rPr>
        <w:t>条</w:t>
      </w:r>
      <w:r>
        <w:rPr>
          <w:rFonts w:hint="eastAsia" w:ascii="仿宋_GB2312" w:eastAsia="仿宋_GB2312" w:cs="宋体"/>
          <w:color w:val="000000"/>
          <w:kern w:val="0"/>
          <w:sz w:val="32"/>
          <w:szCs w:val="32"/>
          <w:lang w:val="en-US" w:eastAsia="zh-CN" w:bidi="ar-SA"/>
        </w:rPr>
        <w:t xml:space="preserve"> 用药评估。参保患者享受谈判药品“双通道”待遇期间，责任医师要定期对参保患者使用谈判药品情况进行评估，并根据评估结果及时调整用药方案。对不符合临床医学诊断使用谈判药品标准的参保患者，不再享受谈判药品“双通道”医保待遇。</w:t>
      </w:r>
    </w:p>
    <w:p w14:paraId="33CA9665">
      <w:pPr>
        <w:pStyle w:val="4"/>
        <w:spacing w:before="0" w:beforeAutospacing="0" w:after="0" w:afterAutospacing="0" w:line="560" w:lineRule="exact"/>
        <w:jc w:val="center"/>
        <w:rPr>
          <w:rFonts w:ascii="仿宋_GB2312" w:eastAsia="仿宋_GB2312"/>
          <w:color w:val="000000"/>
          <w:sz w:val="32"/>
          <w:szCs w:val="32"/>
        </w:rPr>
      </w:pPr>
      <w:r>
        <w:rPr>
          <w:rFonts w:hint="eastAsia" w:ascii="仿宋_GB2312" w:hAnsi="黑体" w:eastAsia="仿宋_GB2312"/>
          <w:color w:val="000000"/>
          <w:sz w:val="32"/>
          <w:szCs w:val="32"/>
        </w:rPr>
        <w:t>第</w:t>
      </w:r>
      <w:r>
        <w:rPr>
          <w:rFonts w:hint="eastAsia" w:ascii="仿宋_GB2312" w:hAnsi="黑体" w:eastAsia="仿宋_GB2312"/>
          <w:color w:val="000000"/>
          <w:sz w:val="32"/>
          <w:szCs w:val="32"/>
          <w:lang w:eastAsia="zh-CN"/>
        </w:rPr>
        <w:t>四</w:t>
      </w:r>
      <w:r>
        <w:rPr>
          <w:rFonts w:hint="eastAsia" w:ascii="仿宋_GB2312" w:hAnsi="黑体" w:eastAsia="仿宋_GB2312"/>
          <w:color w:val="000000"/>
          <w:sz w:val="32"/>
          <w:szCs w:val="32"/>
        </w:rPr>
        <w:t>章 监督管理</w:t>
      </w:r>
    </w:p>
    <w:p w14:paraId="23B7DA9F">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w:t>
      </w:r>
      <w:r>
        <w:rPr>
          <w:rFonts w:hint="eastAsia" w:ascii="仿宋_GB2312" w:eastAsia="仿宋_GB2312" w:cs="宋体"/>
          <w:color w:val="000000"/>
          <w:kern w:val="0"/>
          <w:sz w:val="32"/>
          <w:szCs w:val="32"/>
          <w:lang w:val="en-US" w:eastAsia="zh-CN" w:bidi="ar-SA"/>
        </w:rPr>
        <w:t>二十三</w:t>
      </w:r>
      <w:r>
        <w:rPr>
          <w:rFonts w:hint="eastAsia" w:ascii="仿宋_GB2312" w:hAnsi="宋体" w:eastAsia="仿宋_GB2312" w:cs="宋体"/>
          <w:color w:val="000000"/>
          <w:kern w:val="0"/>
          <w:sz w:val="32"/>
          <w:szCs w:val="32"/>
          <w:lang w:val="en-US" w:eastAsia="zh-CN" w:bidi="ar-SA"/>
        </w:rPr>
        <w:t>条 各级医保经办机构应当加强“双通道”谈判药品的监督管理，将“双通道”谈判药品使用纳入医保智能监控系统实行全过程监管。并实时动态监管定点零售药店全量上传药品追溯码及药品进销存信息情况。</w:t>
      </w:r>
    </w:p>
    <w:p w14:paraId="018D142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第二十</w:t>
      </w:r>
      <w:r>
        <w:rPr>
          <w:rFonts w:hint="eastAsia" w:ascii="仿宋_GB2312" w:eastAsia="仿宋_GB2312" w:cs="宋体"/>
          <w:color w:val="000000"/>
          <w:kern w:val="0"/>
          <w:sz w:val="32"/>
          <w:szCs w:val="32"/>
          <w:lang w:val="en-US" w:eastAsia="zh-CN" w:bidi="ar-SA"/>
        </w:rPr>
        <w:t>四</w:t>
      </w:r>
      <w:r>
        <w:rPr>
          <w:rFonts w:hint="eastAsia" w:ascii="仿宋_GB2312" w:hAnsi="宋体" w:eastAsia="仿宋_GB2312" w:cs="宋体"/>
          <w:color w:val="000000"/>
          <w:kern w:val="0"/>
          <w:sz w:val="32"/>
          <w:szCs w:val="32"/>
          <w:lang w:val="en-US" w:eastAsia="zh-CN" w:bidi="ar-SA"/>
        </w:rPr>
        <w:t>条 谈判药品定点医药机构、医保责任医师以及参保患者须依法依规实施诊疗和使用“双通道”谈判药品。对发生下列情形之一的，由医保部门按协议处理；涉嫌骗取医疗保障基金的按照《医疗保障基金使用监督管理条例》《医疗机构医疗保障定点管理暂行办法》《零售药店医疗保障定点管理暂行办法》</w:t>
      </w:r>
      <w:r>
        <w:rPr>
          <w:rFonts w:hint="eastAsia" w:ascii="仿宋_GB2312" w:eastAsia="仿宋_GB2312" w:cs="宋体"/>
          <w:color w:val="000000"/>
          <w:kern w:val="0"/>
          <w:sz w:val="32"/>
          <w:szCs w:val="32"/>
          <w:lang w:val="en-US" w:eastAsia="zh-CN" w:bidi="ar-SA"/>
        </w:rPr>
        <w:t>等规定</w:t>
      </w:r>
      <w:r>
        <w:rPr>
          <w:rFonts w:hint="eastAsia" w:ascii="仿宋_GB2312" w:hAnsi="宋体" w:eastAsia="仿宋_GB2312" w:cs="宋体"/>
          <w:color w:val="000000"/>
          <w:kern w:val="0"/>
          <w:sz w:val="32"/>
          <w:szCs w:val="32"/>
          <w:lang w:val="en-US" w:eastAsia="zh-CN" w:bidi="ar-SA"/>
        </w:rPr>
        <w:t>处理。</w:t>
      </w:r>
    </w:p>
    <w:p w14:paraId="2807B9B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（一）定点医疗机构</w:t>
      </w:r>
    </w:p>
    <w:p w14:paraId="63144C04">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1.为参保人员提供虚假享受谈判药品待遇的证明材料；</w:t>
      </w:r>
    </w:p>
    <w:p w14:paraId="14D8E0FD">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2.为参保患者转卖谈判药品获取非法利益提供便利；</w:t>
      </w:r>
    </w:p>
    <w:p w14:paraId="5B155F21">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3.未按规定对“双通道”谈判药品进行申请登记、采集并上报实名制管理所需的相关信息；</w:t>
      </w:r>
    </w:p>
    <w:p w14:paraId="15470D9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4.造成医疗保障基金损失或严重不良社会影响的其他违法违规行为。</w:t>
      </w:r>
    </w:p>
    <w:p w14:paraId="2B58571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（二）定点零售药店</w:t>
      </w:r>
    </w:p>
    <w:p w14:paraId="382840B0">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1.未落实“双通道”谈判药品存储、配送、使用等相关要求；</w:t>
      </w:r>
    </w:p>
    <w:p w14:paraId="2F9D098D">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2.未按照规定传送“双通道”谈判药品使用有关数据；</w:t>
      </w:r>
    </w:p>
    <w:p w14:paraId="2E4AE87A">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3.伪造、变更“双通道”谈判药品“进、销、存”票据和账目；</w:t>
      </w:r>
    </w:p>
    <w:p w14:paraId="6B055232">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4.为参保患者提供虚假享受谈判药品待遇的证明材料，转卖谈判药品获取非法利益提供便利；</w:t>
      </w:r>
    </w:p>
    <w:p w14:paraId="5B544F53">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5.拒绝、阻扰或不配合医保经办机构开展对“双通道”谈判药品智能审核和稽核工作；</w:t>
      </w:r>
    </w:p>
    <w:p w14:paraId="4BE1AA2A">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6.造成医疗保障基金损失或严重不良社会影响的其他违法违规行为。</w:t>
      </w:r>
    </w:p>
    <w:p w14:paraId="2A20E853">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（三）医保责任医师</w:t>
      </w:r>
    </w:p>
    <w:p w14:paraId="6183A57D">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1.未执行实名制就医购药管理规定，核验参保患者医疗保障凭证；</w:t>
      </w:r>
    </w:p>
    <w:p w14:paraId="3916BE1C">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2.伪造诊断评估材料，为不具备使用“双通道”谈判药品资格的参保人员进行诊断评估确认使用谈判药品；</w:t>
      </w:r>
    </w:p>
    <w:p w14:paraId="00A85B05">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3.未严格遵守临床用药管理政策和规范，未按照规定履行“双通道”谈判药品诊断确认、开具处方、复查评估等职责；</w:t>
      </w:r>
    </w:p>
    <w:p w14:paraId="09C67DA7">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4.造成医疗保障基金损失或严重不良社会影响的其他违法违规行为。</w:t>
      </w:r>
    </w:p>
    <w:p w14:paraId="6E896623">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（四）参保人员</w:t>
      </w:r>
    </w:p>
    <w:p w14:paraId="4CFDF425">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1.将本人的医疗保障凭证交由他人冒名使用；</w:t>
      </w:r>
    </w:p>
    <w:p w14:paraId="631AEA19">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2.通过伪造、变更、涂改、销毁医学文书、医学证明、会计凭证、电子信息等方式，骗取“双通道”谈判药品医疗保障待遇；</w:t>
      </w:r>
    </w:p>
    <w:p w14:paraId="4F884717">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3.利用享受“双通道”谈判药品待遇机会转卖药品，接受返还现金、实物或者获得其他非法利益。</w:t>
      </w:r>
    </w:p>
    <w:p w14:paraId="677433E1">
      <w:pPr>
        <w:pStyle w:val="4"/>
        <w:spacing w:before="0" w:beforeAutospacing="0" w:after="0" w:afterAutospacing="0" w:line="560" w:lineRule="exact"/>
        <w:jc w:val="center"/>
        <w:rPr>
          <w:rFonts w:ascii="仿宋_GB2312" w:eastAsia="仿宋_GB2312"/>
          <w:color w:val="000000"/>
          <w:sz w:val="32"/>
          <w:szCs w:val="32"/>
        </w:rPr>
      </w:pPr>
      <w:r>
        <w:rPr>
          <w:rFonts w:hint="eastAsia" w:ascii="仿宋_GB2312" w:hAnsi="黑体" w:eastAsia="仿宋_GB2312"/>
          <w:color w:val="000000"/>
          <w:sz w:val="32"/>
          <w:szCs w:val="32"/>
        </w:rPr>
        <w:t>第</w:t>
      </w:r>
      <w:r>
        <w:rPr>
          <w:rFonts w:hint="eastAsia" w:ascii="仿宋_GB2312" w:hAnsi="黑体" w:eastAsia="仿宋_GB2312"/>
          <w:color w:val="000000"/>
          <w:sz w:val="32"/>
          <w:szCs w:val="32"/>
          <w:lang w:eastAsia="zh-CN"/>
        </w:rPr>
        <w:t>六</w:t>
      </w:r>
      <w:r>
        <w:rPr>
          <w:rFonts w:hint="eastAsia" w:ascii="仿宋_GB2312" w:hAnsi="黑体" w:eastAsia="仿宋_GB2312"/>
          <w:color w:val="000000"/>
          <w:sz w:val="32"/>
          <w:szCs w:val="32"/>
        </w:rPr>
        <w:t>章 附 则</w:t>
      </w:r>
    </w:p>
    <w:p w14:paraId="379C7A12">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第二十</w:t>
      </w:r>
      <w:r>
        <w:rPr>
          <w:rFonts w:hint="eastAsia" w:ascii="仿宋_GB2312" w:eastAsia="仿宋_GB2312" w:cs="宋体"/>
          <w:color w:val="000000"/>
          <w:kern w:val="0"/>
          <w:sz w:val="32"/>
          <w:szCs w:val="32"/>
          <w:lang w:val="en-US" w:eastAsia="zh-CN" w:bidi="ar-SA"/>
        </w:rPr>
        <w:t>五</w:t>
      </w:r>
      <w:r>
        <w:rPr>
          <w:rFonts w:hint="eastAsia" w:ascii="仿宋_GB2312" w:hAnsi="宋体" w:eastAsia="仿宋_GB2312" w:cs="宋体"/>
          <w:color w:val="000000"/>
          <w:kern w:val="0"/>
          <w:sz w:val="32"/>
          <w:szCs w:val="32"/>
          <w:lang w:val="en-US" w:eastAsia="zh-CN" w:bidi="ar-SA"/>
        </w:rPr>
        <w:t>条  本规程由自治区医疗保障局负责解释。</w:t>
      </w:r>
    </w:p>
    <w:p w14:paraId="0CEB8CFB">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第二十</w:t>
      </w:r>
      <w:r>
        <w:rPr>
          <w:rFonts w:hint="eastAsia" w:ascii="仿宋_GB2312" w:eastAsia="仿宋_GB2312" w:cs="宋体"/>
          <w:color w:val="000000"/>
          <w:kern w:val="0"/>
          <w:sz w:val="32"/>
          <w:szCs w:val="32"/>
          <w:lang w:val="en-US" w:eastAsia="zh-CN" w:bidi="ar-SA"/>
        </w:rPr>
        <w:t>六</w:t>
      </w:r>
      <w:r>
        <w:rPr>
          <w:rFonts w:hint="eastAsia" w:ascii="仿宋_GB2312" w:hAnsi="宋体" w:eastAsia="仿宋_GB2312" w:cs="宋体"/>
          <w:color w:val="000000"/>
          <w:kern w:val="0"/>
          <w:sz w:val="32"/>
          <w:szCs w:val="32"/>
          <w:lang w:val="en-US" w:eastAsia="zh-CN" w:bidi="ar-SA"/>
        </w:rPr>
        <w:t>条 本规程自2024年 月 日起施行。</w:t>
      </w:r>
    </w:p>
    <w:p w14:paraId="6A80BD1B">
      <w:pPr>
        <w:jc w:val="left"/>
        <w:rPr>
          <w:rFonts w:hint="eastAsia" w:ascii="仿宋_GB2312" w:eastAsia="仿宋_GB2312"/>
          <w:sz w:val="32"/>
          <w:szCs w:val="32"/>
          <w:lang w:eastAsia="zh-CN"/>
        </w:rPr>
      </w:pPr>
    </w:p>
    <w:p w14:paraId="1BBBFCE1">
      <w:pPr>
        <w:jc w:val="left"/>
        <w:rPr>
          <w:rFonts w:hint="eastAsia" w:ascii="仿宋_GB2312" w:eastAsia="仿宋_GB2312"/>
          <w:sz w:val="32"/>
          <w:szCs w:val="32"/>
          <w:lang w:eastAsia="zh-CN"/>
        </w:rPr>
      </w:pPr>
      <w:r>
        <w:rPr>
          <w:rFonts w:hint="eastAsia" w:ascii="仿宋_GB2312" w:eastAsia="仿宋_GB2312"/>
          <w:sz w:val="32"/>
          <w:szCs w:val="32"/>
          <w:lang w:eastAsia="zh-CN"/>
        </w:rPr>
        <w:t>附件：</w:t>
      </w:r>
    </w:p>
    <w:p w14:paraId="26FF8807">
      <w:pPr>
        <w:pStyle w:val="4"/>
        <w:numPr>
          <w:ilvl w:val="0"/>
          <w:numId w:val="0"/>
        </w:numPr>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w:t>
      </w:r>
      <w:r>
        <w:rPr>
          <w:rFonts w:hint="eastAsia" w:ascii="仿宋_GB2312" w:hAnsi="宋体" w:eastAsia="仿宋_GB2312" w:cs="宋体"/>
          <w:color w:val="000000"/>
          <w:kern w:val="0"/>
          <w:sz w:val="32"/>
          <w:szCs w:val="32"/>
          <w:lang w:val="en-US" w:eastAsia="zh-CN" w:bidi="ar-SA"/>
        </w:rPr>
        <w:t>宁夏基本医保双通道管理定点医疗机构申请表；</w:t>
      </w:r>
    </w:p>
    <w:p w14:paraId="0406E02B">
      <w:pPr>
        <w:pStyle w:val="4"/>
        <w:numPr>
          <w:ilvl w:val="0"/>
          <w:numId w:val="0"/>
        </w:numPr>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w:t>
      </w:r>
      <w:r>
        <w:rPr>
          <w:rFonts w:hint="eastAsia" w:ascii="仿宋_GB2312" w:hAnsi="宋体" w:eastAsia="仿宋_GB2312" w:cs="宋体"/>
          <w:color w:val="000000"/>
          <w:kern w:val="0"/>
          <w:sz w:val="32"/>
          <w:szCs w:val="32"/>
          <w:lang w:val="en-US" w:eastAsia="zh-CN" w:bidi="ar-SA"/>
        </w:rPr>
        <w:t>宁夏基本医保双通道管理定点零售药店申请表；</w:t>
      </w:r>
    </w:p>
    <w:p w14:paraId="10373AB3">
      <w:pPr>
        <w:pStyle w:val="4"/>
        <w:spacing w:before="0" w:beforeAutospacing="0" w:after="0" w:afterAutospacing="0" w:line="560" w:lineRule="exact"/>
        <w:ind w:firstLine="640" w:firstLineChars="200"/>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3.宁夏基本医保“双通道”管理零售药店诚信承诺书;</w:t>
      </w:r>
    </w:p>
    <w:p w14:paraId="37D5DF27">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4.宁夏基本医保谈判药品“三定”准入标准；</w:t>
      </w:r>
    </w:p>
    <w:p w14:paraId="6EBD6546">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5.谈判药品定点医疗机构医疗保险服务补充协议；</w:t>
      </w:r>
    </w:p>
    <w:p w14:paraId="68869810">
      <w:pPr>
        <w:pStyle w:val="4"/>
        <w:spacing w:before="0" w:beforeAutospacing="0" w:after="0" w:afterAutospacing="0" w:line="560" w:lineRule="exact"/>
        <w:ind w:firstLine="640" w:firstLineChars="200"/>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6.谈判药品定点零售药店医疗保险服务补充协议；</w:t>
      </w:r>
    </w:p>
    <w:p w14:paraId="5B7ED88E">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7.宁夏参保人员“双通道”管理药品用药申请表；</w:t>
      </w:r>
    </w:p>
    <w:p w14:paraId="565CBE04">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8</w:t>
      </w:r>
      <w:r>
        <w:rPr>
          <w:rFonts w:hint="eastAsia" w:ascii="仿宋_GB2312" w:hAnsi="宋体" w:eastAsia="仿宋_GB2312" w:cs="宋体"/>
          <w:color w:val="000000"/>
          <w:kern w:val="0"/>
          <w:sz w:val="32"/>
          <w:szCs w:val="32"/>
          <w:lang w:val="en-US" w:eastAsia="zh-CN" w:bidi="ar-SA"/>
        </w:rPr>
        <w:t>.宁夏参保人员</w:t>
      </w:r>
      <w:r>
        <w:rPr>
          <w:rFonts w:hint="eastAsia" w:ascii="仿宋_GB2312" w:eastAsia="仿宋_GB2312" w:cs="宋体"/>
          <w:color w:val="000000"/>
          <w:kern w:val="0"/>
          <w:sz w:val="32"/>
          <w:szCs w:val="32"/>
          <w:lang w:val="en-US" w:eastAsia="zh-CN" w:bidi="ar-SA"/>
        </w:rPr>
        <w:t>跨省</w:t>
      </w:r>
      <w:r>
        <w:rPr>
          <w:rFonts w:hint="eastAsia" w:ascii="仿宋_GB2312" w:hAnsi="宋体" w:eastAsia="仿宋_GB2312" w:cs="宋体"/>
          <w:color w:val="000000"/>
          <w:kern w:val="0"/>
          <w:sz w:val="32"/>
          <w:szCs w:val="32"/>
          <w:lang w:val="en-US" w:eastAsia="zh-CN" w:bidi="ar-SA"/>
        </w:rPr>
        <w:t>“双通道”管理药品用药申请表；</w:t>
      </w:r>
    </w:p>
    <w:p w14:paraId="0A0A09C5">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9.宁夏参保人员“双通道”管理药品办理流程图</w:t>
      </w:r>
    </w:p>
    <w:p w14:paraId="68F49855">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0D568E0A">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6758F985">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01A4F6BE">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68FCE762">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3DE6CF45">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7D7E9440">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2ED20182">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4D03BA21">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0A70EE1B">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4C232E98">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3F1D0047">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5CBE3E3D">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0D6D3780">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18DC42C9">
      <w:pPr>
        <w:pStyle w:val="4"/>
        <w:spacing w:before="0" w:beforeAutospacing="0" w:after="0" w:afterAutospacing="0" w:line="560" w:lineRule="exact"/>
        <w:ind w:firstLine="640" w:firstLineChars="200"/>
        <w:rPr>
          <w:rFonts w:hint="eastAsia" w:ascii="仿宋_GB2312" w:hAnsi="宋体" w:eastAsia="仿宋_GB2312" w:cs="宋体"/>
          <w:color w:val="000000"/>
          <w:kern w:val="0"/>
          <w:sz w:val="32"/>
          <w:szCs w:val="32"/>
          <w:lang w:val="en-US" w:eastAsia="zh-CN" w:bidi="ar-SA"/>
        </w:rPr>
      </w:pPr>
    </w:p>
    <w:p w14:paraId="5980EF8C">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附件1：</w:t>
      </w:r>
    </w:p>
    <w:p w14:paraId="1244B9C4">
      <w:pPr>
        <w:autoSpaceDE w:val="0"/>
        <w:autoSpaceDN w:val="0"/>
        <w:spacing w:line="700" w:lineRule="exact"/>
        <w:jc w:val="center"/>
        <w:rPr>
          <w:rFonts w:hint="eastAsia" w:ascii="方正小标宋简体" w:hAnsi="方正小标宋简体" w:eastAsia="方正小标宋简体" w:cs="方正小标宋简体"/>
          <w:b w:val="0"/>
          <w:bCs/>
          <w:color w:val="000000"/>
          <w:sz w:val="44"/>
          <w:szCs w:val="44"/>
          <w:lang w:val="zh-CN"/>
        </w:rPr>
      </w:pPr>
      <w:r>
        <w:rPr>
          <w:rFonts w:hint="eastAsia" w:ascii="方正小标宋简体" w:hAnsi="方正小标宋简体" w:eastAsia="方正小标宋简体" w:cs="方正小标宋简体"/>
          <w:b w:val="0"/>
          <w:bCs/>
          <w:color w:val="000000"/>
          <w:sz w:val="44"/>
          <w:szCs w:val="44"/>
          <w:lang w:val="zh-CN"/>
        </w:rPr>
        <w:t>宁夏基本医保双通道管理定点医疗机构申请表</w:t>
      </w:r>
    </w:p>
    <w:tbl>
      <w:tblPr>
        <w:tblStyle w:val="5"/>
        <w:tblpPr w:leftFromText="180" w:rightFromText="180" w:vertAnchor="text" w:horzAnchor="page" w:tblpX="1746" w:tblpY="445"/>
        <w:tblW w:w="8397" w:type="dxa"/>
        <w:tblInd w:w="0" w:type="dxa"/>
        <w:tblLayout w:type="fixed"/>
        <w:tblCellMar>
          <w:top w:w="0" w:type="dxa"/>
          <w:left w:w="10" w:type="dxa"/>
          <w:bottom w:w="0" w:type="dxa"/>
          <w:right w:w="10" w:type="dxa"/>
        </w:tblCellMar>
      </w:tblPr>
      <w:tblGrid>
        <w:gridCol w:w="981"/>
        <w:gridCol w:w="1152"/>
        <w:gridCol w:w="2576"/>
        <w:gridCol w:w="1984"/>
        <w:gridCol w:w="1704"/>
      </w:tblGrid>
      <w:tr w14:paraId="2605B94B">
        <w:tblPrEx>
          <w:tblCellMar>
            <w:top w:w="0" w:type="dxa"/>
            <w:left w:w="10" w:type="dxa"/>
            <w:bottom w:w="0" w:type="dxa"/>
            <w:right w:w="10" w:type="dxa"/>
          </w:tblCellMar>
        </w:tblPrEx>
        <w:trPr>
          <w:trHeight w:val="621" w:hRule="atLeast"/>
        </w:trPr>
        <w:tc>
          <w:tcPr>
            <w:tcW w:w="2133" w:type="dxa"/>
            <w:gridSpan w:val="2"/>
            <w:tcBorders>
              <w:top w:val="single" w:color="auto" w:sz="6" w:space="0"/>
              <w:left w:val="single" w:color="auto" w:sz="6" w:space="0"/>
              <w:bottom w:val="single" w:color="auto" w:sz="6" w:space="0"/>
              <w:right w:val="single" w:color="auto" w:sz="6" w:space="0"/>
            </w:tcBorders>
            <w:noWrap w:val="0"/>
            <w:vAlign w:val="center"/>
          </w:tcPr>
          <w:p w14:paraId="235919E6">
            <w:pPr>
              <w:autoSpaceDE w:val="0"/>
              <w:autoSpaceDN w:val="0"/>
              <w:spacing w:line="600" w:lineRule="exact"/>
              <w:jc w:val="center"/>
              <w:rPr>
                <w:rFonts w:eastAsia="Times New Roman"/>
                <w:color w:val="000000"/>
                <w:sz w:val="24"/>
                <w:szCs w:val="24"/>
              </w:rPr>
            </w:pPr>
            <w:r>
              <w:rPr>
                <w:rFonts w:hint="eastAsia" w:ascii="宋体" w:hAnsi="宋体"/>
                <w:color w:val="000000"/>
                <w:sz w:val="24"/>
                <w:szCs w:val="24"/>
                <w:lang w:val="zh-CN"/>
              </w:rPr>
              <w:t>机构名称</w:t>
            </w:r>
          </w:p>
        </w:tc>
        <w:tc>
          <w:tcPr>
            <w:tcW w:w="6264" w:type="dxa"/>
            <w:gridSpan w:val="3"/>
            <w:tcBorders>
              <w:top w:val="single" w:color="auto" w:sz="6" w:space="0"/>
              <w:left w:val="single" w:color="auto" w:sz="6" w:space="0"/>
              <w:bottom w:val="single" w:color="auto" w:sz="6" w:space="0"/>
              <w:right w:val="single" w:color="auto" w:sz="6" w:space="0"/>
            </w:tcBorders>
            <w:noWrap w:val="0"/>
            <w:vAlign w:val="center"/>
          </w:tcPr>
          <w:p w14:paraId="451F51F2">
            <w:pPr>
              <w:autoSpaceDE w:val="0"/>
              <w:autoSpaceDN w:val="0"/>
              <w:spacing w:line="600" w:lineRule="exact"/>
              <w:jc w:val="center"/>
              <w:rPr>
                <w:rFonts w:eastAsia="Times New Roman"/>
                <w:color w:val="000000"/>
                <w:sz w:val="24"/>
                <w:szCs w:val="24"/>
              </w:rPr>
            </w:pPr>
          </w:p>
        </w:tc>
      </w:tr>
      <w:tr w14:paraId="7455AA3B">
        <w:tblPrEx>
          <w:tblCellMar>
            <w:top w:w="0" w:type="dxa"/>
            <w:left w:w="10" w:type="dxa"/>
            <w:bottom w:w="0" w:type="dxa"/>
            <w:right w:w="10" w:type="dxa"/>
          </w:tblCellMar>
        </w:tblPrEx>
        <w:trPr>
          <w:trHeight w:val="591" w:hRule="atLeast"/>
        </w:trPr>
        <w:tc>
          <w:tcPr>
            <w:tcW w:w="2133" w:type="dxa"/>
            <w:gridSpan w:val="2"/>
            <w:tcBorders>
              <w:top w:val="single" w:color="auto" w:sz="6" w:space="0"/>
              <w:left w:val="single" w:color="auto" w:sz="6" w:space="0"/>
              <w:bottom w:val="single" w:color="auto" w:sz="6" w:space="0"/>
              <w:right w:val="single" w:color="auto" w:sz="6" w:space="0"/>
            </w:tcBorders>
            <w:noWrap w:val="0"/>
            <w:vAlign w:val="center"/>
          </w:tcPr>
          <w:p w14:paraId="1D10535E">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color w:val="000000"/>
                <w:sz w:val="24"/>
                <w:szCs w:val="24"/>
                <w:lang w:val="zh-CN"/>
              </w:rPr>
            </w:pPr>
            <w:r>
              <w:rPr>
                <w:rFonts w:hint="eastAsia"/>
                <w:color w:val="000000"/>
                <w:sz w:val="24"/>
                <w:szCs w:val="24"/>
                <w:lang w:val="zh-CN"/>
              </w:rPr>
              <w:t>医疗机构国家代码</w:t>
            </w:r>
          </w:p>
        </w:tc>
        <w:tc>
          <w:tcPr>
            <w:tcW w:w="2576" w:type="dxa"/>
            <w:tcBorders>
              <w:top w:val="single" w:color="auto" w:sz="6" w:space="0"/>
              <w:left w:val="single" w:color="auto" w:sz="6" w:space="0"/>
              <w:bottom w:val="single" w:color="auto" w:sz="6" w:space="0"/>
              <w:right w:val="single" w:color="auto" w:sz="6" w:space="0"/>
            </w:tcBorders>
            <w:noWrap w:val="0"/>
            <w:vAlign w:val="center"/>
          </w:tcPr>
          <w:p w14:paraId="6462DD42">
            <w:pPr>
              <w:autoSpaceDE w:val="0"/>
              <w:autoSpaceDN w:val="0"/>
              <w:spacing w:line="600" w:lineRule="exact"/>
              <w:jc w:val="center"/>
              <w:rPr>
                <w:rFonts w:hint="eastAsia"/>
                <w:color w:val="000000"/>
                <w:sz w:val="24"/>
                <w:szCs w:val="24"/>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32885FF0">
            <w:pPr>
              <w:autoSpaceDE w:val="0"/>
              <w:autoSpaceDN w:val="0"/>
              <w:spacing w:line="360" w:lineRule="auto"/>
              <w:jc w:val="center"/>
              <w:rPr>
                <w:rFonts w:hint="eastAsia" w:ascii="宋体" w:hAnsi="宋体"/>
                <w:color w:val="000000"/>
                <w:sz w:val="24"/>
                <w:szCs w:val="24"/>
                <w:lang w:val="zh-CN"/>
              </w:rPr>
            </w:pPr>
            <w:r>
              <w:rPr>
                <w:rFonts w:hint="eastAsia"/>
                <w:color w:val="000000"/>
                <w:sz w:val="24"/>
                <w:szCs w:val="24"/>
                <w:lang w:val="zh-CN"/>
              </w:rPr>
              <w:t>机构类别和等级</w:t>
            </w:r>
          </w:p>
        </w:tc>
        <w:tc>
          <w:tcPr>
            <w:tcW w:w="1704" w:type="dxa"/>
            <w:tcBorders>
              <w:top w:val="single" w:color="auto" w:sz="6" w:space="0"/>
              <w:left w:val="single" w:color="auto" w:sz="6" w:space="0"/>
              <w:bottom w:val="single" w:color="auto" w:sz="6" w:space="0"/>
              <w:right w:val="single" w:color="auto" w:sz="6" w:space="0"/>
            </w:tcBorders>
            <w:noWrap w:val="0"/>
            <w:vAlign w:val="center"/>
          </w:tcPr>
          <w:p w14:paraId="4C55EC34">
            <w:pPr>
              <w:autoSpaceDE w:val="0"/>
              <w:autoSpaceDN w:val="0"/>
              <w:spacing w:line="600" w:lineRule="exact"/>
              <w:jc w:val="center"/>
              <w:rPr>
                <w:rFonts w:eastAsia="Times New Roman"/>
                <w:color w:val="000000"/>
                <w:sz w:val="24"/>
                <w:szCs w:val="24"/>
              </w:rPr>
            </w:pPr>
          </w:p>
        </w:tc>
      </w:tr>
      <w:tr w14:paraId="3E46DE9E">
        <w:tblPrEx>
          <w:tblCellMar>
            <w:top w:w="0" w:type="dxa"/>
            <w:left w:w="10" w:type="dxa"/>
            <w:bottom w:w="0" w:type="dxa"/>
            <w:right w:w="10" w:type="dxa"/>
          </w:tblCellMar>
        </w:tblPrEx>
        <w:trPr>
          <w:trHeight w:val="621" w:hRule="atLeast"/>
        </w:trPr>
        <w:tc>
          <w:tcPr>
            <w:tcW w:w="2133" w:type="dxa"/>
            <w:gridSpan w:val="2"/>
            <w:tcBorders>
              <w:top w:val="single" w:color="auto" w:sz="6" w:space="0"/>
              <w:left w:val="single" w:color="auto" w:sz="6" w:space="0"/>
              <w:bottom w:val="single" w:color="auto" w:sz="6" w:space="0"/>
              <w:right w:val="single" w:color="auto" w:sz="6" w:space="0"/>
            </w:tcBorders>
            <w:noWrap w:val="0"/>
            <w:vAlign w:val="center"/>
          </w:tcPr>
          <w:p w14:paraId="4A8A7719">
            <w:pPr>
              <w:autoSpaceDE w:val="0"/>
              <w:autoSpaceDN w:val="0"/>
              <w:spacing w:line="600" w:lineRule="exact"/>
              <w:jc w:val="center"/>
              <w:rPr>
                <w:rFonts w:hint="eastAsia" w:ascii="宋体" w:hAnsi="宋体"/>
                <w:color w:val="000000"/>
                <w:sz w:val="24"/>
                <w:szCs w:val="24"/>
                <w:lang w:val="zh-CN"/>
              </w:rPr>
            </w:pPr>
            <w:r>
              <w:rPr>
                <w:rFonts w:hint="eastAsia" w:ascii="宋体" w:hAnsi="宋体"/>
                <w:color w:val="000000"/>
                <w:sz w:val="24"/>
                <w:szCs w:val="24"/>
                <w:lang w:val="zh-CN"/>
              </w:rPr>
              <w:t>经办人</w:t>
            </w:r>
          </w:p>
        </w:tc>
        <w:tc>
          <w:tcPr>
            <w:tcW w:w="2576" w:type="dxa"/>
            <w:tcBorders>
              <w:top w:val="single" w:color="auto" w:sz="6" w:space="0"/>
              <w:left w:val="single" w:color="auto" w:sz="6" w:space="0"/>
              <w:bottom w:val="single" w:color="auto" w:sz="6" w:space="0"/>
              <w:right w:val="single" w:color="auto" w:sz="6" w:space="0"/>
            </w:tcBorders>
            <w:noWrap w:val="0"/>
            <w:vAlign w:val="center"/>
          </w:tcPr>
          <w:p w14:paraId="2A655C42">
            <w:pPr>
              <w:autoSpaceDE w:val="0"/>
              <w:autoSpaceDN w:val="0"/>
              <w:spacing w:line="600" w:lineRule="exact"/>
              <w:jc w:val="center"/>
              <w:rPr>
                <w:rFonts w:eastAsia="Times New Roman"/>
                <w:color w:val="000000"/>
                <w:sz w:val="24"/>
                <w:szCs w:val="24"/>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7B435CBF">
            <w:pPr>
              <w:autoSpaceDE w:val="0"/>
              <w:autoSpaceDN w:val="0"/>
              <w:spacing w:line="600" w:lineRule="exact"/>
              <w:jc w:val="center"/>
              <w:rPr>
                <w:rFonts w:hint="eastAsia" w:ascii="宋体" w:hAnsi="宋体"/>
                <w:color w:val="000000"/>
                <w:sz w:val="24"/>
                <w:szCs w:val="24"/>
                <w:lang w:val="zh-CN"/>
              </w:rPr>
            </w:pPr>
            <w:r>
              <w:rPr>
                <w:rFonts w:hint="eastAsia" w:ascii="宋体" w:hAnsi="宋体"/>
                <w:color w:val="000000"/>
                <w:sz w:val="24"/>
                <w:szCs w:val="24"/>
                <w:lang w:val="zh-CN"/>
              </w:rPr>
              <w:t>联系电话</w:t>
            </w:r>
          </w:p>
        </w:tc>
        <w:tc>
          <w:tcPr>
            <w:tcW w:w="1704" w:type="dxa"/>
            <w:tcBorders>
              <w:top w:val="single" w:color="auto" w:sz="6" w:space="0"/>
              <w:left w:val="single" w:color="auto" w:sz="6" w:space="0"/>
              <w:bottom w:val="single" w:color="auto" w:sz="6" w:space="0"/>
              <w:right w:val="single" w:color="auto" w:sz="6" w:space="0"/>
            </w:tcBorders>
            <w:noWrap w:val="0"/>
            <w:vAlign w:val="center"/>
          </w:tcPr>
          <w:p w14:paraId="68D35BF1">
            <w:pPr>
              <w:autoSpaceDE w:val="0"/>
              <w:autoSpaceDN w:val="0"/>
              <w:spacing w:line="600" w:lineRule="exact"/>
              <w:jc w:val="center"/>
              <w:rPr>
                <w:rFonts w:hint="eastAsia"/>
                <w:color w:val="000000"/>
                <w:sz w:val="24"/>
                <w:szCs w:val="24"/>
              </w:rPr>
            </w:pPr>
          </w:p>
        </w:tc>
      </w:tr>
      <w:tr w14:paraId="68397BAF">
        <w:tblPrEx>
          <w:tblCellMar>
            <w:top w:w="0" w:type="dxa"/>
            <w:left w:w="10" w:type="dxa"/>
            <w:bottom w:w="0" w:type="dxa"/>
            <w:right w:w="10" w:type="dxa"/>
          </w:tblCellMar>
        </w:tblPrEx>
        <w:trPr>
          <w:trHeight w:val="5880" w:hRule="atLeast"/>
        </w:trPr>
        <w:tc>
          <w:tcPr>
            <w:tcW w:w="981" w:type="dxa"/>
            <w:tcBorders>
              <w:top w:val="single" w:color="auto" w:sz="4" w:space="0"/>
              <w:left w:val="single" w:color="auto" w:sz="4" w:space="0"/>
              <w:bottom w:val="single" w:color="auto" w:sz="4" w:space="0"/>
              <w:right w:val="single" w:color="auto" w:sz="4" w:space="0"/>
            </w:tcBorders>
            <w:noWrap w:val="0"/>
            <w:vAlign w:val="center"/>
          </w:tcPr>
          <w:p w14:paraId="53022ABB">
            <w:pPr>
              <w:autoSpaceDE w:val="0"/>
              <w:autoSpaceDN w:val="0"/>
              <w:spacing w:line="400" w:lineRule="exact"/>
              <w:jc w:val="center"/>
              <w:rPr>
                <w:rFonts w:hint="eastAsia"/>
                <w:color w:val="000000"/>
                <w:sz w:val="24"/>
                <w:szCs w:val="24"/>
              </w:rPr>
            </w:pPr>
            <w:r>
              <w:rPr>
                <w:rFonts w:hint="eastAsia"/>
                <w:color w:val="000000"/>
                <w:sz w:val="24"/>
                <w:szCs w:val="24"/>
              </w:rPr>
              <w:t>基本情况</w:t>
            </w:r>
          </w:p>
        </w:tc>
        <w:tc>
          <w:tcPr>
            <w:tcW w:w="7416" w:type="dxa"/>
            <w:gridSpan w:val="4"/>
            <w:tcBorders>
              <w:top w:val="single" w:color="auto" w:sz="6" w:space="0"/>
              <w:left w:val="single" w:color="auto" w:sz="4" w:space="0"/>
              <w:bottom w:val="single" w:color="auto" w:sz="6" w:space="0"/>
              <w:right w:val="single" w:color="auto" w:sz="6" w:space="0"/>
            </w:tcBorders>
            <w:noWrap w:val="0"/>
            <w:vAlign w:val="top"/>
          </w:tcPr>
          <w:p w14:paraId="25E6C302">
            <w:pPr>
              <w:autoSpaceDE w:val="0"/>
              <w:autoSpaceDN w:val="0"/>
              <w:spacing w:line="400" w:lineRule="exact"/>
              <w:rPr>
                <w:rFonts w:hint="eastAsia"/>
                <w:color w:val="000000"/>
                <w:sz w:val="24"/>
                <w:szCs w:val="24"/>
              </w:rPr>
            </w:pPr>
            <w:r>
              <w:rPr>
                <w:rFonts w:hint="eastAsia"/>
                <w:color w:val="000000"/>
                <w:sz w:val="24"/>
                <w:szCs w:val="24"/>
              </w:rPr>
              <w:t>需求因素分析说明及需求药品：</w:t>
            </w:r>
          </w:p>
          <w:p w14:paraId="0C037386">
            <w:pPr>
              <w:autoSpaceDE w:val="0"/>
              <w:autoSpaceDN w:val="0"/>
              <w:spacing w:line="400" w:lineRule="exact"/>
              <w:rPr>
                <w:rFonts w:hint="eastAsia"/>
                <w:color w:val="000000"/>
                <w:sz w:val="24"/>
                <w:szCs w:val="24"/>
              </w:rPr>
            </w:pPr>
          </w:p>
          <w:p w14:paraId="71C7F78A">
            <w:pPr>
              <w:autoSpaceDE w:val="0"/>
              <w:autoSpaceDN w:val="0"/>
              <w:spacing w:line="400" w:lineRule="exact"/>
              <w:rPr>
                <w:rFonts w:hint="eastAsia"/>
                <w:color w:val="000000"/>
                <w:sz w:val="24"/>
                <w:szCs w:val="24"/>
              </w:rPr>
            </w:pPr>
          </w:p>
          <w:p w14:paraId="74E804BE">
            <w:pPr>
              <w:autoSpaceDE w:val="0"/>
              <w:autoSpaceDN w:val="0"/>
              <w:spacing w:line="400" w:lineRule="exact"/>
              <w:rPr>
                <w:rFonts w:hint="eastAsia"/>
                <w:color w:val="000000"/>
                <w:sz w:val="24"/>
                <w:szCs w:val="24"/>
              </w:rPr>
            </w:pPr>
          </w:p>
          <w:p w14:paraId="6F961D32">
            <w:pPr>
              <w:autoSpaceDE w:val="0"/>
              <w:autoSpaceDN w:val="0"/>
              <w:spacing w:line="400" w:lineRule="exact"/>
              <w:rPr>
                <w:rFonts w:hint="eastAsia"/>
                <w:color w:val="000000"/>
                <w:sz w:val="24"/>
                <w:szCs w:val="24"/>
              </w:rPr>
            </w:pPr>
          </w:p>
          <w:p w14:paraId="3DDBA960">
            <w:pPr>
              <w:autoSpaceDE w:val="0"/>
              <w:autoSpaceDN w:val="0"/>
              <w:spacing w:line="400" w:lineRule="exact"/>
              <w:rPr>
                <w:rFonts w:hint="eastAsia"/>
                <w:color w:val="000000"/>
                <w:sz w:val="24"/>
                <w:szCs w:val="24"/>
              </w:rPr>
            </w:pPr>
          </w:p>
          <w:p w14:paraId="41AF515C">
            <w:pPr>
              <w:autoSpaceDE w:val="0"/>
              <w:autoSpaceDN w:val="0"/>
              <w:spacing w:line="400" w:lineRule="exact"/>
              <w:rPr>
                <w:rFonts w:hint="eastAsia"/>
                <w:color w:val="000000"/>
                <w:sz w:val="24"/>
                <w:szCs w:val="24"/>
              </w:rPr>
            </w:pPr>
            <w:r>
              <w:rPr>
                <w:rFonts w:hint="eastAsia"/>
                <w:color w:val="000000"/>
                <w:sz w:val="24"/>
                <w:szCs w:val="24"/>
              </w:rPr>
              <w:t>其他：</w:t>
            </w:r>
          </w:p>
          <w:p w14:paraId="2D65F80D">
            <w:pPr>
              <w:autoSpaceDE w:val="0"/>
              <w:autoSpaceDN w:val="0"/>
              <w:spacing w:line="400" w:lineRule="exact"/>
              <w:rPr>
                <w:rFonts w:hint="eastAsia"/>
                <w:color w:val="000000"/>
                <w:sz w:val="24"/>
                <w:szCs w:val="24"/>
              </w:rPr>
            </w:pPr>
            <w:r>
              <w:rPr>
                <w:rFonts w:hint="eastAsia"/>
                <w:color w:val="000000"/>
                <w:sz w:val="24"/>
                <w:szCs w:val="24"/>
              </w:rPr>
              <w:t>（需求所涉及诊疗科目、责任医师配备、处方管理流程等）</w:t>
            </w:r>
          </w:p>
          <w:p w14:paraId="08E28737">
            <w:pPr>
              <w:autoSpaceDE w:val="0"/>
              <w:autoSpaceDN w:val="0"/>
              <w:spacing w:line="400" w:lineRule="exact"/>
              <w:rPr>
                <w:rFonts w:hint="eastAsia"/>
                <w:color w:val="000000"/>
                <w:sz w:val="24"/>
                <w:szCs w:val="24"/>
              </w:rPr>
            </w:pPr>
          </w:p>
          <w:p w14:paraId="346FEAED">
            <w:pPr>
              <w:autoSpaceDE w:val="0"/>
              <w:autoSpaceDN w:val="0"/>
              <w:spacing w:line="400" w:lineRule="exact"/>
              <w:rPr>
                <w:rFonts w:hint="eastAsia"/>
                <w:color w:val="000000"/>
                <w:sz w:val="24"/>
                <w:szCs w:val="24"/>
              </w:rPr>
            </w:pPr>
          </w:p>
          <w:p w14:paraId="43143C9A">
            <w:pPr>
              <w:keepNext w:val="0"/>
              <w:keepLines w:val="0"/>
              <w:pageBreakBefore w:val="0"/>
              <w:widowControl w:val="0"/>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default" w:eastAsia="宋体"/>
                <w:color w:val="000000"/>
                <w:sz w:val="24"/>
                <w:szCs w:val="24"/>
                <w:lang w:val="en-US" w:eastAsia="zh-CN"/>
              </w:rPr>
            </w:pPr>
            <w:r>
              <w:rPr>
                <w:rFonts w:hint="eastAsia" w:ascii="Times New Roman" w:hAnsi="Times New Roman" w:eastAsia="宋体" w:cs="Times New Roman"/>
                <w:color w:val="000000"/>
                <w:sz w:val="24"/>
                <w:szCs w:val="24"/>
              </w:rPr>
              <w:t>本机构自愿申请</w:t>
            </w:r>
            <w:r>
              <w:rPr>
                <w:rFonts w:hint="eastAsia" w:ascii="Times New Roman" w:hAnsi="Times New Roman" w:eastAsia="宋体" w:cs="Times New Roman"/>
                <w:color w:val="000000"/>
                <w:sz w:val="24"/>
                <w:szCs w:val="24"/>
                <w:lang w:eastAsia="zh-CN"/>
              </w:rPr>
              <w:t>纳入“双通道”管理</w:t>
            </w:r>
            <w:r>
              <w:rPr>
                <w:rFonts w:hint="eastAsia" w:ascii="Times New Roman" w:hAnsi="Times New Roman" w:eastAsia="宋体" w:cs="Times New Roman"/>
                <w:color w:val="000000"/>
                <w:sz w:val="24"/>
                <w:szCs w:val="24"/>
              </w:rPr>
              <w:t>，保证本申请表及申请材料真实、准确</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完整，并承诺</w:t>
            </w:r>
            <w:r>
              <w:rPr>
                <w:rFonts w:hint="eastAsia" w:ascii="Times New Roman" w:hAnsi="Times New Roman" w:eastAsia="宋体" w:cs="Times New Roman"/>
                <w:color w:val="000000"/>
                <w:sz w:val="24"/>
                <w:szCs w:val="24"/>
                <w:lang w:eastAsia="zh-CN"/>
              </w:rPr>
              <w:t>本机构近三年内不存在因违法违规、违反协议等被医疗保障部门暂停医疗机构（含内设科室）医保协议的情况，</w:t>
            </w:r>
            <w:r>
              <w:rPr>
                <w:rFonts w:hint="eastAsia" w:ascii="Times New Roman" w:hAnsi="Times New Roman" w:eastAsia="宋体" w:cs="Times New Roman"/>
                <w:color w:val="000000"/>
                <w:sz w:val="24"/>
                <w:szCs w:val="24"/>
              </w:rPr>
              <w:t>如提供虚假不实资料，本单位自愿</w:t>
            </w:r>
            <w:r>
              <w:rPr>
                <w:rFonts w:hint="eastAsia" w:ascii="Times New Roman" w:hAnsi="Times New Roman" w:eastAsia="宋体" w:cs="Times New Roman"/>
                <w:color w:val="000000"/>
                <w:sz w:val="24"/>
                <w:szCs w:val="24"/>
                <w:lang w:eastAsia="zh-CN"/>
              </w:rPr>
              <w:t>退出并</w:t>
            </w:r>
            <w:r>
              <w:rPr>
                <w:rFonts w:hint="eastAsia" w:ascii="Times New Roman" w:hAnsi="Times New Roman" w:eastAsia="宋体" w:cs="Times New Roman"/>
                <w:color w:val="000000"/>
                <w:sz w:val="24"/>
                <w:szCs w:val="24"/>
              </w:rPr>
              <w:t>承担相应责任。</w:t>
            </w:r>
          </w:p>
          <w:p w14:paraId="1D80E1A4">
            <w:pPr>
              <w:autoSpaceDE w:val="0"/>
              <w:autoSpaceDN w:val="0"/>
              <w:spacing w:line="400" w:lineRule="exact"/>
              <w:rPr>
                <w:rFonts w:hint="eastAsia"/>
                <w:color w:val="000000"/>
                <w:sz w:val="24"/>
                <w:szCs w:val="24"/>
              </w:rPr>
            </w:pPr>
          </w:p>
          <w:p w14:paraId="14887099">
            <w:pPr>
              <w:autoSpaceDE w:val="0"/>
              <w:autoSpaceDN w:val="0"/>
              <w:spacing w:line="400" w:lineRule="exact"/>
              <w:ind w:firstLine="3120" w:firstLineChars="1300"/>
              <w:rPr>
                <w:rFonts w:eastAsia="Times New Roman"/>
                <w:color w:val="000000"/>
                <w:sz w:val="24"/>
                <w:szCs w:val="24"/>
              </w:rPr>
            </w:pPr>
            <w:r>
              <w:rPr>
                <w:rFonts w:hint="eastAsia" w:ascii="宋体" w:hAnsi="宋体"/>
                <w:color w:val="000000"/>
                <w:sz w:val="24"/>
                <w:szCs w:val="24"/>
                <w:lang w:val="zh-CN"/>
              </w:rPr>
              <w:t xml:space="preserve">申请单位：  </w:t>
            </w:r>
            <w:r>
              <w:rPr>
                <w:rFonts w:eastAsia="Times New Roman"/>
                <w:color w:val="000000"/>
                <w:sz w:val="24"/>
                <w:szCs w:val="24"/>
              </w:rPr>
              <w:t xml:space="preserve">     </w:t>
            </w:r>
            <w:r>
              <w:rPr>
                <w:rFonts w:hint="eastAsia"/>
                <w:color w:val="000000"/>
                <w:sz w:val="24"/>
                <w:szCs w:val="24"/>
              </w:rPr>
              <w:t>（签章）</w:t>
            </w:r>
            <w:r>
              <w:rPr>
                <w:color w:val="000000"/>
                <w:sz w:val="24"/>
                <w:szCs w:val="24"/>
              </w:rPr>
              <w:t xml:space="preserve">  </w:t>
            </w:r>
            <w:r>
              <w:rPr>
                <w:rFonts w:hint="eastAsia"/>
                <w:color w:val="000000"/>
                <w:sz w:val="24"/>
                <w:szCs w:val="24"/>
              </w:rPr>
              <w:t xml:space="preserve">              </w:t>
            </w:r>
          </w:p>
          <w:p w14:paraId="257A2AC6">
            <w:pPr>
              <w:autoSpaceDE w:val="0"/>
              <w:autoSpaceDN w:val="0"/>
              <w:spacing w:line="400" w:lineRule="exact"/>
              <w:rPr>
                <w:rFonts w:hint="eastAsia"/>
                <w:color w:val="000000"/>
                <w:sz w:val="24"/>
                <w:szCs w:val="24"/>
              </w:rPr>
            </w:pPr>
            <w:r>
              <w:rPr>
                <w:rFonts w:eastAsia="Times New Roman"/>
                <w:color w:val="000000"/>
                <w:sz w:val="24"/>
                <w:szCs w:val="24"/>
              </w:rPr>
              <w:t xml:space="preserve">       </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r>
              <w:rPr>
                <w:rFonts w:eastAsia="Times New Roman"/>
                <w:color w:val="000000"/>
                <w:sz w:val="24"/>
                <w:szCs w:val="24"/>
              </w:rPr>
              <w:t xml:space="preserve">  </w:t>
            </w:r>
            <w:r>
              <w:rPr>
                <w:rFonts w:hint="eastAsia"/>
                <w:color w:val="000000"/>
                <w:sz w:val="24"/>
                <w:szCs w:val="24"/>
              </w:rPr>
              <w:t xml:space="preserve">                </w:t>
            </w:r>
          </w:p>
        </w:tc>
      </w:tr>
      <w:tr w14:paraId="0E82BADE">
        <w:tblPrEx>
          <w:tblCellMar>
            <w:top w:w="0" w:type="dxa"/>
            <w:left w:w="10" w:type="dxa"/>
            <w:bottom w:w="0" w:type="dxa"/>
            <w:right w:w="10" w:type="dxa"/>
          </w:tblCellMar>
        </w:tblPrEx>
        <w:trPr>
          <w:trHeight w:val="90" w:hRule="atLeast"/>
        </w:trPr>
        <w:tc>
          <w:tcPr>
            <w:tcW w:w="981" w:type="dxa"/>
            <w:tcBorders>
              <w:top w:val="single" w:color="auto" w:sz="4" w:space="0"/>
              <w:left w:val="single" w:color="auto" w:sz="4" w:space="0"/>
              <w:bottom w:val="single" w:color="auto" w:sz="4" w:space="0"/>
              <w:right w:val="single" w:color="auto" w:sz="4" w:space="0"/>
            </w:tcBorders>
            <w:noWrap w:val="0"/>
            <w:vAlign w:val="center"/>
          </w:tcPr>
          <w:p w14:paraId="4FBA3CD1">
            <w:pPr>
              <w:autoSpaceDE w:val="0"/>
              <w:autoSpaceDN w:val="0"/>
              <w:spacing w:line="400" w:lineRule="exact"/>
              <w:jc w:val="center"/>
              <w:rPr>
                <w:rFonts w:eastAsia="Times New Roman"/>
                <w:color w:val="000000"/>
                <w:sz w:val="24"/>
                <w:szCs w:val="24"/>
              </w:rPr>
            </w:pPr>
            <w:r>
              <w:rPr>
                <w:rFonts w:hint="eastAsia" w:ascii="宋体" w:hAnsi="宋体"/>
                <w:bCs/>
                <w:color w:val="000000"/>
                <w:sz w:val="24"/>
                <w:szCs w:val="24"/>
                <w:lang w:val="zh-CN"/>
              </w:rPr>
              <w:t>附属材料清单</w:t>
            </w:r>
          </w:p>
        </w:tc>
        <w:tc>
          <w:tcPr>
            <w:tcW w:w="7416" w:type="dxa"/>
            <w:gridSpan w:val="4"/>
            <w:tcBorders>
              <w:top w:val="single" w:color="auto" w:sz="6" w:space="0"/>
              <w:left w:val="single" w:color="auto" w:sz="4" w:space="0"/>
              <w:bottom w:val="single" w:color="auto" w:sz="6" w:space="0"/>
              <w:right w:val="single" w:color="auto" w:sz="6" w:space="0"/>
            </w:tcBorders>
            <w:noWrap w:val="0"/>
            <w:vAlign w:val="top"/>
          </w:tcPr>
          <w:p w14:paraId="5A6BF0FA">
            <w:pPr>
              <w:keepNext w:val="0"/>
              <w:keepLines w:val="0"/>
              <w:pageBreakBefore w:val="0"/>
              <w:widowControl w:val="0"/>
              <w:numPr>
                <w:ilvl w:val="0"/>
                <w:numId w:val="2"/>
              </w:numPr>
              <w:kinsoku/>
              <w:wordWrap/>
              <w:overflowPunct/>
              <w:topLinePunct w:val="0"/>
              <w:autoSpaceDE w:val="0"/>
              <w:autoSpaceDN w:val="0"/>
              <w:bidi w:val="0"/>
              <w:adjustRightInd/>
              <w:snapToGrid/>
              <w:spacing w:line="2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医疗机构执业许可证副本复印件</w:t>
            </w:r>
            <w:r>
              <w:rPr>
                <w:rFonts w:hint="eastAsia" w:asciiTheme="minorEastAsia" w:hAnsiTheme="minorEastAsia" w:eastAsiaTheme="minorEastAsia" w:cstheme="minorEastAsia"/>
                <w:color w:val="000000"/>
                <w:sz w:val="24"/>
                <w:szCs w:val="24"/>
                <w:lang w:val="en-US" w:eastAsia="zh-CN"/>
              </w:rPr>
              <w:t>;</w:t>
            </w:r>
          </w:p>
          <w:p w14:paraId="3C5F4478">
            <w:pPr>
              <w:keepNext w:val="0"/>
              <w:keepLines w:val="0"/>
              <w:pageBreakBefore w:val="0"/>
              <w:widowControl w:val="0"/>
              <w:numPr>
                <w:ilvl w:val="0"/>
                <w:numId w:val="2"/>
              </w:numPr>
              <w:kinsoku/>
              <w:wordWrap/>
              <w:overflowPunct/>
              <w:topLinePunct w:val="0"/>
              <w:autoSpaceDE w:val="0"/>
              <w:autoSpaceDN w:val="0"/>
              <w:bidi w:val="0"/>
              <w:adjustRightInd/>
              <w:snapToGrid/>
              <w:spacing w:line="2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医疗机构营业执照（或事业单位法人证书或民办非企业单位登记证书）</w:t>
            </w:r>
            <w:r>
              <w:rPr>
                <w:rFonts w:hint="eastAsia" w:asciiTheme="minorEastAsia" w:hAnsiTheme="minorEastAsia" w:eastAsiaTheme="minorEastAsia" w:cstheme="minorEastAsia"/>
                <w:color w:val="000000"/>
                <w:sz w:val="24"/>
                <w:szCs w:val="24"/>
                <w:lang w:eastAsia="zh-CN"/>
              </w:rPr>
              <w:t>副本</w:t>
            </w:r>
            <w:r>
              <w:rPr>
                <w:rFonts w:hint="eastAsia" w:asciiTheme="minorEastAsia" w:hAnsiTheme="minorEastAsia" w:eastAsiaTheme="minorEastAsia" w:cstheme="minorEastAsia"/>
                <w:color w:val="000000"/>
                <w:sz w:val="24"/>
                <w:szCs w:val="24"/>
              </w:rPr>
              <w:t>复印件；</w:t>
            </w:r>
          </w:p>
          <w:p w14:paraId="1FD5402A">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eastAsia" w:eastAsia="仿宋_GB2312"/>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双通道管理责任医师信息表</w:t>
            </w:r>
            <w:r>
              <w:rPr>
                <w:rFonts w:hint="eastAsia" w:asciiTheme="minorEastAsia" w:hAnsiTheme="minorEastAsia" w:eastAsiaTheme="minorEastAsia" w:cstheme="minorEastAsia"/>
                <w:color w:val="000000"/>
                <w:sz w:val="24"/>
                <w:szCs w:val="24"/>
                <w:lang w:eastAsia="zh-CN"/>
              </w:rPr>
              <w:t>。</w:t>
            </w:r>
          </w:p>
        </w:tc>
      </w:tr>
      <w:tr w14:paraId="0FE4A6C3">
        <w:tblPrEx>
          <w:tblCellMar>
            <w:top w:w="0" w:type="dxa"/>
            <w:left w:w="10" w:type="dxa"/>
            <w:bottom w:w="0" w:type="dxa"/>
            <w:right w:w="10" w:type="dxa"/>
          </w:tblCellMar>
        </w:tblPrEx>
        <w:trPr>
          <w:trHeight w:val="1090" w:hRule="atLeast"/>
        </w:trPr>
        <w:tc>
          <w:tcPr>
            <w:tcW w:w="981" w:type="dxa"/>
            <w:tcBorders>
              <w:top w:val="single" w:color="auto" w:sz="4" w:space="0"/>
              <w:left w:val="single" w:color="auto" w:sz="4" w:space="0"/>
              <w:bottom w:val="single" w:color="auto" w:sz="4" w:space="0"/>
              <w:right w:val="single" w:color="auto" w:sz="4" w:space="0"/>
            </w:tcBorders>
            <w:noWrap w:val="0"/>
            <w:vAlign w:val="top"/>
          </w:tcPr>
          <w:p w14:paraId="33667214">
            <w:pPr>
              <w:autoSpaceDE w:val="0"/>
              <w:autoSpaceDN w:val="0"/>
              <w:spacing w:line="400" w:lineRule="exact"/>
              <w:jc w:val="both"/>
              <w:rPr>
                <w:rFonts w:hint="eastAsia"/>
                <w:color w:val="000000"/>
                <w:sz w:val="24"/>
                <w:szCs w:val="24"/>
              </w:rPr>
            </w:pPr>
            <w:r>
              <w:rPr>
                <w:rFonts w:hint="eastAsia"/>
                <w:color w:val="000000"/>
                <w:sz w:val="24"/>
                <w:szCs w:val="24"/>
              </w:rPr>
              <w:t>医保</w:t>
            </w:r>
            <w:r>
              <w:rPr>
                <w:rFonts w:hint="eastAsia" w:ascii="宋体" w:hAnsi="宋体"/>
                <w:bCs/>
                <w:color w:val="000000"/>
                <w:sz w:val="24"/>
                <w:szCs w:val="24"/>
                <w:lang w:val="zh-CN"/>
              </w:rPr>
              <w:t>经办</w:t>
            </w:r>
            <w:r>
              <w:rPr>
                <w:rFonts w:hint="eastAsia"/>
                <w:color w:val="000000"/>
                <w:sz w:val="24"/>
                <w:szCs w:val="24"/>
              </w:rPr>
              <w:t>机构意见</w:t>
            </w:r>
          </w:p>
        </w:tc>
        <w:tc>
          <w:tcPr>
            <w:tcW w:w="7416" w:type="dxa"/>
            <w:gridSpan w:val="4"/>
            <w:tcBorders>
              <w:top w:val="single" w:color="auto" w:sz="6" w:space="0"/>
              <w:left w:val="single" w:color="auto" w:sz="4" w:space="0"/>
              <w:bottom w:val="single" w:color="auto" w:sz="4" w:space="0"/>
              <w:right w:val="single" w:color="auto" w:sz="6" w:space="0"/>
            </w:tcBorders>
            <w:noWrap w:val="0"/>
            <w:vAlign w:val="top"/>
          </w:tcPr>
          <w:p w14:paraId="57E7A491">
            <w:pPr>
              <w:autoSpaceDE w:val="0"/>
              <w:autoSpaceDN w:val="0"/>
              <w:rPr>
                <w:rFonts w:hint="eastAsia"/>
                <w:color w:val="000000"/>
                <w:sz w:val="24"/>
                <w:szCs w:val="24"/>
              </w:rPr>
            </w:pPr>
            <w:r>
              <w:rPr>
                <w:rFonts w:hint="eastAsia"/>
                <w:color w:val="000000"/>
                <w:sz w:val="24"/>
                <w:szCs w:val="24"/>
              </w:rPr>
              <w:t xml:space="preserve">  </w:t>
            </w:r>
          </w:p>
        </w:tc>
      </w:tr>
      <w:tr w14:paraId="56E2FA18">
        <w:tblPrEx>
          <w:tblCellMar>
            <w:top w:w="0" w:type="dxa"/>
            <w:left w:w="10" w:type="dxa"/>
            <w:bottom w:w="0" w:type="dxa"/>
            <w:right w:w="10" w:type="dxa"/>
          </w:tblCellMar>
        </w:tblPrEx>
        <w:trPr>
          <w:trHeight w:val="418" w:hRule="atLeast"/>
        </w:trPr>
        <w:tc>
          <w:tcPr>
            <w:tcW w:w="981" w:type="dxa"/>
            <w:tcBorders>
              <w:top w:val="single" w:color="auto" w:sz="4" w:space="0"/>
              <w:left w:val="single" w:color="auto" w:sz="4" w:space="0"/>
              <w:bottom w:val="single" w:color="auto" w:sz="4" w:space="0"/>
              <w:right w:val="single" w:color="auto" w:sz="4" w:space="0"/>
            </w:tcBorders>
            <w:noWrap w:val="0"/>
            <w:vAlign w:val="center"/>
          </w:tcPr>
          <w:p w14:paraId="27437D39">
            <w:pPr>
              <w:autoSpaceDE w:val="0"/>
              <w:autoSpaceDN w:val="0"/>
              <w:spacing w:line="320" w:lineRule="exact"/>
              <w:jc w:val="center"/>
              <w:rPr>
                <w:rFonts w:eastAsia="Times New Roman"/>
                <w:color w:val="000000"/>
                <w:sz w:val="24"/>
                <w:szCs w:val="24"/>
              </w:rPr>
            </w:pPr>
            <w:r>
              <w:rPr>
                <w:rFonts w:hint="eastAsia" w:ascii="宋体" w:hAnsi="宋体"/>
                <w:color w:val="000000"/>
                <w:sz w:val="24"/>
                <w:szCs w:val="24"/>
                <w:lang w:val="zh-CN"/>
              </w:rPr>
              <w:t>备</w:t>
            </w:r>
            <w:r>
              <w:rPr>
                <w:rFonts w:eastAsia="Times New Roman"/>
                <w:color w:val="000000"/>
                <w:sz w:val="24"/>
                <w:szCs w:val="24"/>
              </w:rPr>
              <w:t xml:space="preserve">  </w:t>
            </w:r>
            <w:r>
              <w:rPr>
                <w:rFonts w:hint="eastAsia" w:ascii="宋体" w:hAnsi="宋体"/>
                <w:color w:val="000000"/>
                <w:sz w:val="24"/>
                <w:szCs w:val="24"/>
                <w:lang w:val="zh-CN"/>
              </w:rPr>
              <w:t>注</w:t>
            </w:r>
          </w:p>
        </w:tc>
        <w:tc>
          <w:tcPr>
            <w:tcW w:w="7416" w:type="dxa"/>
            <w:gridSpan w:val="4"/>
            <w:tcBorders>
              <w:top w:val="single" w:color="auto" w:sz="4" w:space="0"/>
              <w:left w:val="single" w:color="auto" w:sz="4" w:space="0"/>
              <w:bottom w:val="single" w:color="auto" w:sz="4" w:space="0"/>
              <w:right w:val="single" w:color="auto" w:sz="4" w:space="0"/>
            </w:tcBorders>
            <w:noWrap w:val="0"/>
            <w:vAlign w:val="top"/>
          </w:tcPr>
          <w:p w14:paraId="287290C9">
            <w:pPr>
              <w:autoSpaceDE w:val="0"/>
              <w:autoSpaceDN w:val="0"/>
              <w:spacing w:line="440" w:lineRule="exact"/>
              <w:ind w:firstLine="7200" w:firstLineChars="3000"/>
              <w:rPr>
                <w:rFonts w:eastAsia="Times New Roman"/>
                <w:color w:val="000000"/>
                <w:sz w:val="24"/>
                <w:szCs w:val="24"/>
              </w:rPr>
            </w:pPr>
          </w:p>
        </w:tc>
      </w:tr>
    </w:tbl>
    <w:p w14:paraId="46AFACAE">
      <w:pPr>
        <w:widowControl/>
        <w:jc w:val="left"/>
        <w:rPr>
          <w:rFonts w:hint="eastAsia" w:ascii="宋体" w:hAnsi="宋体"/>
          <w:color w:val="000000"/>
          <w:szCs w:val="21"/>
          <w:lang w:val="zh-CN"/>
        </w:rPr>
      </w:pPr>
    </w:p>
    <w:p w14:paraId="2C839CC7">
      <w:pPr>
        <w:widowControl/>
        <w:jc w:val="left"/>
        <w:rPr>
          <w:rFonts w:hint="eastAsia" w:ascii="宋体" w:hAnsi="宋体"/>
          <w:color w:val="000000"/>
          <w:szCs w:val="21"/>
        </w:rPr>
      </w:pPr>
      <w:r>
        <w:rPr>
          <w:rFonts w:hint="eastAsia" w:ascii="宋体" w:hAnsi="宋体"/>
          <w:color w:val="000000"/>
          <w:szCs w:val="21"/>
        </w:rPr>
        <w:t>填表说明：1.如本表设置栏目不能满足填报需求，可增加附表形式填报；</w:t>
      </w:r>
    </w:p>
    <w:p w14:paraId="38DBD8DA">
      <w:pPr>
        <w:widowControl/>
        <w:jc w:val="left"/>
        <w:rPr>
          <w:rFonts w:hint="eastAsia" w:ascii="宋体" w:hAnsi="宋体"/>
          <w:b/>
          <w:color w:val="000000"/>
          <w:sz w:val="36"/>
          <w:szCs w:val="36"/>
          <w:lang w:val="zh-CN"/>
        </w:rPr>
      </w:pPr>
      <w:r>
        <w:rPr>
          <w:rFonts w:hint="eastAsia" w:ascii="宋体" w:hAnsi="宋体"/>
          <w:color w:val="000000"/>
          <w:szCs w:val="21"/>
        </w:rPr>
        <w:t xml:space="preserve">          2.医疗机构和医师代码按国家医保业务标准编码填写。</w:t>
      </w:r>
      <w:r>
        <w:rPr>
          <w:rFonts w:hint="eastAsia" w:ascii="宋体" w:hAnsi="宋体"/>
          <w:color w:val="000000"/>
          <w:szCs w:val="21"/>
          <w:lang w:eastAsia="zh-CN"/>
        </w:rPr>
        <w:t>所有申报材料均需加盖申请单位公章</w:t>
      </w:r>
      <w:r>
        <w:rPr>
          <w:rFonts w:hint="eastAsia" w:ascii="宋体" w:hAnsi="宋体"/>
          <w:color w:val="000000"/>
          <w:szCs w:val="21"/>
        </w:rPr>
        <w:t>。</w:t>
      </w:r>
    </w:p>
    <w:p w14:paraId="3A621618">
      <w:pPr>
        <w:autoSpaceDE w:val="0"/>
        <w:autoSpaceDN w:val="0"/>
        <w:spacing w:line="700" w:lineRule="exact"/>
        <w:jc w:val="center"/>
        <w:rPr>
          <w:rFonts w:hint="eastAsia" w:ascii="方正小标宋简体" w:hAnsi="方正小标宋简体" w:eastAsia="方正小标宋简体" w:cs="方正小标宋简体"/>
          <w:b w:val="0"/>
          <w:bCs/>
          <w:color w:val="000000"/>
          <w:sz w:val="44"/>
          <w:szCs w:val="44"/>
          <w:lang w:val="zh-CN"/>
        </w:rPr>
      </w:pPr>
      <w:r>
        <w:rPr>
          <w:rFonts w:hint="eastAsia" w:ascii="方正小标宋简体" w:hAnsi="方正小标宋简体" w:eastAsia="方正小标宋简体" w:cs="方正小标宋简体"/>
          <w:b w:val="0"/>
          <w:bCs/>
          <w:color w:val="000000"/>
          <w:sz w:val="44"/>
          <w:szCs w:val="44"/>
          <w:lang w:val="zh-CN"/>
        </w:rPr>
        <w:t>双通道管理责任医师信息表</w:t>
      </w:r>
    </w:p>
    <w:p w14:paraId="21B2E8EE">
      <w:pPr>
        <w:widowControl/>
        <w:jc w:val="left"/>
        <w:rPr>
          <w:rFonts w:hint="eastAsia" w:ascii="宋体" w:hAnsi="宋体" w:cs="宋体"/>
          <w:color w:val="000000"/>
          <w:kern w:val="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407"/>
        <w:gridCol w:w="1135"/>
        <w:gridCol w:w="1768"/>
        <w:gridCol w:w="1924"/>
        <w:gridCol w:w="1762"/>
      </w:tblGrid>
      <w:tr w14:paraId="3E91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center"/>
          </w:tcPr>
          <w:p w14:paraId="4F8F2EA5">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序号</w:t>
            </w:r>
          </w:p>
        </w:tc>
        <w:tc>
          <w:tcPr>
            <w:tcW w:w="1407" w:type="dxa"/>
            <w:noWrap w:val="0"/>
            <w:vAlign w:val="center"/>
          </w:tcPr>
          <w:p w14:paraId="1DA10185">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医师代码</w:t>
            </w:r>
          </w:p>
        </w:tc>
        <w:tc>
          <w:tcPr>
            <w:tcW w:w="1135" w:type="dxa"/>
            <w:noWrap w:val="0"/>
            <w:vAlign w:val="center"/>
          </w:tcPr>
          <w:p w14:paraId="72661C9C">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姓名</w:t>
            </w:r>
          </w:p>
        </w:tc>
        <w:tc>
          <w:tcPr>
            <w:tcW w:w="1768" w:type="dxa"/>
            <w:noWrap w:val="0"/>
            <w:vAlign w:val="center"/>
          </w:tcPr>
          <w:p w14:paraId="5A2CBB0F">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所属科室</w:t>
            </w:r>
          </w:p>
        </w:tc>
        <w:tc>
          <w:tcPr>
            <w:tcW w:w="1924" w:type="dxa"/>
            <w:noWrap w:val="0"/>
            <w:vAlign w:val="center"/>
          </w:tcPr>
          <w:p w14:paraId="42FC304C">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执业范围</w:t>
            </w:r>
          </w:p>
        </w:tc>
        <w:tc>
          <w:tcPr>
            <w:tcW w:w="1762" w:type="dxa"/>
            <w:noWrap w:val="0"/>
            <w:vAlign w:val="center"/>
          </w:tcPr>
          <w:p w14:paraId="7ED797B0">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专业</w:t>
            </w:r>
            <w:r>
              <w:rPr>
                <w:rFonts w:hint="eastAsia" w:ascii="宋体" w:hAnsi="宋体" w:cs="宋体"/>
                <w:color w:val="000000"/>
                <w:kern w:val="0"/>
                <w:sz w:val="28"/>
                <w:szCs w:val="28"/>
                <w:lang w:eastAsia="zh-CN"/>
              </w:rPr>
              <w:t>职称</w:t>
            </w:r>
          </w:p>
        </w:tc>
      </w:tr>
      <w:tr w14:paraId="25E7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25164F8A">
            <w:pPr>
              <w:widowControl/>
              <w:jc w:val="left"/>
              <w:rPr>
                <w:rFonts w:hint="eastAsia" w:ascii="宋体" w:hAnsi="宋体" w:cs="宋体"/>
                <w:color w:val="000000"/>
                <w:kern w:val="0"/>
                <w:sz w:val="20"/>
              </w:rPr>
            </w:pPr>
          </w:p>
        </w:tc>
        <w:tc>
          <w:tcPr>
            <w:tcW w:w="1407" w:type="dxa"/>
            <w:noWrap w:val="0"/>
            <w:vAlign w:val="top"/>
          </w:tcPr>
          <w:p w14:paraId="412C0B82">
            <w:pPr>
              <w:widowControl/>
              <w:jc w:val="left"/>
              <w:rPr>
                <w:rFonts w:hint="eastAsia" w:ascii="宋体" w:hAnsi="宋体" w:cs="宋体"/>
                <w:color w:val="000000"/>
                <w:kern w:val="0"/>
                <w:sz w:val="20"/>
              </w:rPr>
            </w:pPr>
          </w:p>
        </w:tc>
        <w:tc>
          <w:tcPr>
            <w:tcW w:w="1135" w:type="dxa"/>
            <w:noWrap w:val="0"/>
            <w:vAlign w:val="top"/>
          </w:tcPr>
          <w:p w14:paraId="3EF97F21">
            <w:pPr>
              <w:widowControl/>
              <w:jc w:val="left"/>
              <w:rPr>
                <w:rFonts w:hint="eastAsia" w:ascii="宋体" w:hAnsi="宋体" w:cs="宋体"/>
                <w:color w:val="000000"/>
                <w:kern w:val="0"/>
                <w:sz w:val="20"/>
              </w:rPr>
            </w:pPr>
          </w:p>
        </w:tc>
        <w:tc>
          <w:tcPr>
            <w:tcW w:w="1768" w:type="dxa"/>
            <w:noWrap w:val="0"/>
            <w:vAlign w:val="top"/>
          </w:tcPr>
          <w:p w14:paraId="3132F365">
            <w:pPr>
              <w:widowControl/>
              <w:jc w:val="left"/>
              <w:rPr>
                <w:rFonts w:hint="eastAsia" w:ascii="宋体" w:hAnsi="宋体" w:cs="宋体"/>
                <w:color w:val="000000"/>
                <w:kern w:val="0"/>
                <w:sz w:val="20"/>
              </w:rPr>
            </w:pPr>
          </w:p>
        </w:tc>
        <w:tc>
          <w:tcPr>
            <w:tcW w:w="1924" w:type="dxa"/>
            <w:noWrap w:val="0"/>
            <w:vAlign w:val="top"/>
          </w:tcPr>
          <w:p w14:paraId="0D86CCCE">
            <w:pPr>
              <w:widowControl/>
              <w:jc w:val="left"/>
              <w:rPr>
                <w:rFonts w:hint="eastAsia" w:ascii="宋体" w:hAnsi="宋体" w:cs="宋体"/>
                <w:color w:val="000000"/>
                <w:kern w:val="0"/>
                <w:sz w:val="20"/>
              </w:rPr>
            </w:pPr>
          </w:p>
        </w:tc>
        <w:tc>
          <w:tcPr>
            <w:tcW w:w="1762" w:type="dxa"/>
            <w:noWrap w:val="0"/>
            <w:vAlign w:val="top"/>
          </w:tcPr>
          <w:p w14:paraId="0DAC3435">
            <w:pPr>
              <w:widowControl/>
              <w:jc w:val="left"/>
              <w:rPr>
                <w:rFonts w:hint="eastAsia" w:ascii="宋体" w:hAnsi="宋体" w:cs="宋体"/>
                <w:color w:val="000000"/>
                <w:kern w:val="0"/>
                <w:sz w:val="20"/>
              </w:rPr>
            </w:pPr>
          </w:p>
        </w:tc>
      </w:tr>
      <w:tr w14:paraId="21E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42E683BA">
            <w:pPr>
              <w:widowControl/>
              <w:jc w:val="left"/>
              <w:rPr>
                <w:rFonts w:hint="eastAsia" w:ascii="宋体" w:hAnsi="宋体" w:cs="宋体"/>
                <w:color w:val="000000"/>
                <w:kern w:val="0"/>
                <w:sz w:val="20"/>
              </w:rPr>
            </w:pPr>
          </w:p>
        </w:tc>
        <w:tc>
          <w:tcPr>
            <w:tcW w:w="1407" w:type="dxa"/>
            <w:noWrap w:val="0"/>
            <w:vAlign w:val="top"/>
          </w:tcPr>
          <w:p w14:paraId="605CCCF7">
            <w:pPr>
              <w:widowControl/>
              <w:jc w:val="left"/>
              <w:rPr>
                <w:rFonts w:hint="eastAsia" w:ascii="宋体" w:hAnsi="宋体" w:cs="宋体"/>
                <w:color w:val="000000"/>
                <w:kern w:val="0"/>
                <w:sz w:val="20"/>
              </w:rPr>
            </w:pPr>
          </w:p>
        </w:tc>
        <w:tc>
          <w:tcPr>
            <w:tcW w:w="1135" w:type="dxa"/>
            <w:noWrap w:val="0"/>
            <w:vAlign w:val="top"/>
          </w:tcPr>
          <w:p w14:paraId="074C9582">
            <w:pPr>
              <w:widowControl/>
              <w:jc w:val="left"/>
              <w:rPr>
                <w:rFonts w:hint="eastAsia" w:ascii="宋体" w:hAnsi="宋体" w:cs="宋体"/>
                <w:color w:val="000000"/>
                <w:kern w:val="0"/>
                <w:sz w:val="20"/>
              </w:rPr>
            </w:pPr>
          </w:p>
        </w:tc>
        <w:tc>
          <w:tcPr>
            <w:tcW w:w="1768" w:type="dxa"/>
            <w:noWrap w:val="0"/>
            <w:vAlign w:val="top"/>
          </w:tcPr>
          <w:p w14:paraId="35295041">
            <w:pPr>
              <w:widowControl/>
              <w:jc w:val="left"/>
              <w:rPr>
                <w:rFonts w:hint="eastAsia" w:ascii="宋体" w:hAnsi="宋体" w:cs="宋体"/>
                <w:color w:val="000000"/>
                <w:kern w:val="0"/>
                <w:sz w:val="20"/>
              </w:rPr>
            </w:pPr>
          </w:p>
        </w:tc>
        <w:tc>
          <w:tcPr>
            <w:tcW w:w="1924" w:type="dxa"/>
            <w:noWrap w:val="0"/>
            <w:vAlign w:val="top"/>
          </w:tcPr>
          <w:p w14:paraId="0AF3758F">
            <w:pPr>
              <w:widowControl/>
              <w:jc w:val="left"/>
              <w:rPr>
                <w:rFonts w:hint="eastAsia" w:ascii="宋体" w:hAnsi="宋体" w:cs="宋体"/>
                <w:color w:val="000000"/>
                <w:kern w:val="0"/>
                <w:sz w:val="20"/>
              </w:rPr>
            </w:pPr>
          </w:p>
        </w:tc>
        <w:tc>
          <w:tcPr>
            <w:tcW w:w="1762" w:type="dxa"/>
            <w:noWrap w:val="0"/>
            <w:vAlign w:val="top"/>
          </w:tcPr>
          <w:p w14:paraId="36728598">
            <w:pPr>
              <w:widowControl/>
              <w:jc w:val="left"/>
              <w:rPr>
                <w:rFonts w:hint="eastAsia" w:ascii="宋体" w:hAnsi="宋体" w:cs="宋体"/>
                <w:color w:val="000000"/>
                <w:kern w:val="0"/>
                <w:sz w:val="20"/>
              </w:rPr>
            </w:pPr>
          </w:p>
        </w:tc>
      </w:tr>
      <w:tr w14:paraId="3320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5E916905">
            <w:pPr>
              <w:widowControl/>
              <w:jc w:val="left"/>
              <w:rPr>
                <w:rFonts w:hint="eastAsia" w:ascii="宋体" w:hAnsi="宋体" w:cs="宋体"/>
                <w:color w:val="000000"/>
                <w:kern w:val="0"/>
                <w:sz w:val="20"/>
              </w:rPr>
            </w:pPr>
          </w:p>
        </w:tc>
        <w:tc>
          <w:tcPr>
            <w:tcW w:w="1407" w:type="dxa"/>
            <w:noWrap w:val="0"/>
            <w:vAlign w:val="top"/>
          </w:tcPr>
          <w:p w14:paraId="16050B35">
            <w:pPr>
              <w:widowControl/>
              <w:jc w:val="left"/>
              <w:rPr>
                <w:rFonts w:hint="eastAsia" w:ascii="宋体" w:hAnsi="宋体" w:cs="宋体"/>
                <w:color w:val="000000"/>
                <w:kern w:val="0"/>
                <w:sz w:val="20"/>
              </w:rPr>
            </w:pPr>
          </w:p>
        </w:tc>
        <w:tc>
          <w:tcPr>
            <w:tcW w:w="1135" w:type="dxa"/>
            <w:noWrap w:val="0"/>
            <w:vAlign w:val="top"/>
          </w:tcPr>
          <w:p w14:paraId="206AB7A1">
            <w:pPr>
              <w:widowControl/>
              <w:jc w:val="left"/>
              <w:rPr>
                <w:rFonts w:hint="eastAsia" w:ascii="宋体" w:hAnsi="宋体" w:cs="宋体"/>
                <w:color w:val="000000"/>
                <w:kern w:val="0"/>
                <w:sz w:val="20"/>
              </w:rPr>
            </w:pPr>
          </w:p>
        </w:tc>
        <w:tc>
          <w:tcPr>
            <w:tcW w:w="1768" w:type="dxa"/>
            <w:noWrap w:val="0"/>
            <w:vAlign w:val="top"/>
          </w:tcPr>
          <w:p w14:paraId="0E795C93">
            <w:pPr>
              <w:widowControl/>
              <w:jc w:val="left"/>
              <w:rPr>
                <w:rFonts w:hint="eastAsia" w:ascii="宋体" w:hAnsi="宋体" w:cs="宋体"/>
                <w:color w:val="000000"/>
                <w:kern w:val="0"/>
                <w:sz w:val="20"/>
              </w:rPr>
            </w:pPr>
          </w:p>
        </w:tc>
        <w:tc>
          <w:tcPr>
            <w:tcW w:w="1924" w:type="dxa"/>
            <w:noWrap w:val="0"/>
            <w:vAlign w:val="top"/>
          </w:tcPr>
          <w:p w14:paraId="748A35AC">
            <w:pPr>
              <w:widowControl/>
              <w:jc w:val="left"/>
              <w:rPr>
                <w:rFonts w:hint="eastAsia" w:ascii="宋体" w:hAnsi="宋体" w:cs="宋体"/>
                <w:color w:val="000000"/>
                <w:kern w:val="0"/>
                <w:sz w:val="20"/>
              </w:rPr>
            </w:pPr>
          </w:p>
        </w:tc>
        <w:tc>
          <w:tcPr>
            <w:tcW w:w="1762" w:type="dxa"/>
            <w:noWrap w:val="0"/>
            <w:vAlign w:val="top"/>
          </w:tcPr>
          <w:p w14:paraId="759B8515">
            <w:pPr>
              <w:widowControl/>
              <w:jc w:val="left"/>
              <w:rPr>
                <w:rFonts w:hint="eastAsia" w:ascii="宋体" w:hAnsi="宋体" w:cs="宋体"/>
                <w:color w:val="000000"/>
                <w:kern w:val="0"/>
                <w:sz w:val="20"/>
              </w:rPr>
            </w:pPr>
          </w:p>
        </w:tc>
      </w:tr>
      <w:tr w14:paraId="6D96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0BABE7C2">
            <w:pPr>
              <w:widowControl/>
              <w:jc w:val="left"/>
              <w:rPr>
                <w:rFonts w:hint="eastAsia" w:ascii="宋体" w:hAnsi="宋体" w:cs="宋体"/>
                <w:color w:val="000000"/>
                <w:kern w:val="0"/>
                <w:sz w:val="20"/>
              </w:rPr>
            </w:pPr>
          </w:p>
        </w:tc>
        <w:tc>
          <w:tcPr>
            <w:tcW w:w="1407" w:type="dxa"/>
            <w:noWrap w:val="0"/>
            <w:vAlign w:val="top"/>
          </w:tcPr>
          <w:p w14:paraId="371DFB53">
            <w:pPr>
              <w:widowControl/>
              <w:jc w:val="left"/>
              <w:rPr>
                <w:rFonts w:hint="eastAsia" w:ascii="宋体" w:hAnsi="宋体" w:cs="宋体"/>
                <w:color w:val="000000"/>
                <w:kern w:val="0"/>
                <w:sz w:val="20"/>
              </w:rPr>
            </w:pPr>
          </w:p>
        </w:tc>
        <w:tc>
          <w:tcPr>
            <w:tcW w:w="1135" w:type="dxa"/>
            <w:noWrap w:val="0"/>
            <w:vAlign w:val="top"/>
          </w:tcPr>
          <w:p w14:paraId="18148376">
            <w:pPr>
              <w:widowControl/>
              <w:jc w:val="left"/>
              <w:rPr>
                <w:rFonts w:hint="eastAsia" w:ascii="宋体" w:hAnsi="宋体" w:cs="宋体"/>
                <w:color w:val="000000"/>
                <w:kern w:val="0"/>
                <w:sz w:val="20"/>
              </w:rPr>
            </w:pPr>
          </w:p>
        </w:tc>
        <w:tc>
          <w:tcPr>
            <w:tcW w:w="1768" w:type="dxa"/>
            <w:noWrap w:val="0"/>
            <w:vAlign w:val="top"/>
          </w:tcPr>
          <w:p w14:paraId="22E47BDA">
            <w:pPr>
              <w:widowControl/>
              <w:jc w:val="left"/>
              <w:rPr>
                <w:rFonts w:hint="eastAsia" w:ascii="宋体" w:hAnsi="宋体" w:cs="宋体"/>
                <w:color w:val="000000"/>
                <w:kern w:val="0"/>
                <w:sz w:val="20"/>
              </w:rPr>
            </w:pPr>
          </w:p>
        </w:tc>
        <w:tc>
          <w:tcPr>
            <w:tcW w:w="1924" w:type="dxa"/>
            <w:noWrap w:val="0"/>
            <w:vAlign w:val="top"/>
          </w:tcPr>
          <w:p w14:paraId="16D04EC0">
            <w:pPr>
              <w:widowControl/>
              <w:jc w:val="left"/>
              <w:rPr>
                <w:rFonts w:hint="eastAsia" w:ascii="宋体" w:hAnsi="宋体" w:cs="宋体"/>
                <w:color w:val="000000"/>
                <w:kern w:val="0"/>
                <w:sz w:val="20"/>
              </w:rPr>
            </w:pPr>
          </w:p>
        </w:tc>
        <w:tc>
          <w:tcPr>
            <w:tcW w:w="1762" w:type="dxa"/>
            <w:noWrap w:val="0"/>
            <w:vAlign w:val="top"/>
          </w:tcPr>
          <w:p w14:paraId="456D5CFD">
            <w:pPr>
              <w:widowControl/>
              <w:jc w:val="left"/>
              <w:rPr>
                <w:rFonts w:hint="eastAsia" w:ascii="宋体" w:hAnsi="宋体" w:cs="宋体"/>
                <w:color w:val="000000"/>
                <w:kern w:val="0"/>
                <w:sz w:val="20"/>
              </w:rPr>
            </w:pPr>
          </w:p>
        </w:tc>
      </w:tr>
      <w:tr w14:paraId="3807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5CFDD7F5">
            <w:pPr>
              <w:widowControl/>
              <w:jc w:val="left"/>
              <w:rPr>
                <w:rFonts w:hint="eastAsia" w:ascii="宋体" w:hAnsi="宋体" w:cs="宋体"/>
                <w:color w:val="000000"/>
                <w:kern w:val="0"/>
                <w:sz w:val="20"/>
              </w:rPr>
            </w:pPr>
          </w:p>
        </w:tc>
        <w:tc>
          <w:tcPr>
            <w:tcW w:w="1407" w:type="dxa"/>
            <w:noWrap w:val="0"/>
            <w:vAlign w:val="top"/>
          </w:tcPr>
          <w:p w14:paraId="2BC05DE3">
            <w:pPr>
              <w:widowControl/>
              <w:jc w:val="left"/>
              <w:rPr>
                <w:rFonts w:hint="eastAsia" w:ascii="宋体" w:hAnsi="宋体" w:cs="宋体"/>
                <w:color w:val="000000"/>
                <w:kern w:val="0"/>
                <w:sz w:val="20"/>
              </w:rPr>
            </w:pPr>
          </w:p>
        </w:tc>
        <w:tc>
          <w:tcPr>
            <w:tcW w:w="1135" w:type="dxa"/>
            <w:noWrap w:val="0"/>
            <w:vAlign w:val="top"/>
          </w:tcPr>
          <w:p w14:paraId="76A8F863">
            <w:pPr>
              <w:widowControl/>
              <w:jc w:val="left"/>
              <w:rPr>
                <w:rFonts w:hint="eastAsia" w:ascii="宋体" w:hAnsi="宋体" w:cs="宋体"/>
                <w:color w:val="000000"/>
                <w:kern w:val="0"/>
                <w:sz w:val="20"/>
              </w:rPr>
            </w:pPr>
          </w:p>
        </w:tc>
        <w:tc>
          <w:tcPr>
            <w:tcW w:w="1768" w:type="dxa"/>
            <w:noWrap w:val="0"/>
            <w:vAlign w:val="top"/>
          </w:tcPr>
          <w:p w14:paraId="122FEB4F">
            <w:pPr>
              <w:widowControl/>
              <w:jc w:val="left"/>
              <w:rPr>
                <w:rFonts w:hint="eastAsia" w:ascii="宋体" w:hAnsi="宋体" w:cs="宋体"/>
                <w:color w:val="000000"/>
                <w:kern w:val="0"/>
                <w:sz w:val="20"/>
              </w:rPr>
            </w:pPr>
          </w:p>
        </w:tc>
        <w:tc>
          <w:tcPr>
            <w:tcW w:w="1924" w:type="dxa"/>
            <w:noWrap w:val="0"/>
            <w:vAlign w:val="top"/>
          </w:tcPr>
          <w:p w14:paraId="4F56C698">
            <w:pPr>
              <w:widowControl/>
              <w:jc w:val="left"/>
              <w:rPr>
                <w:rFonts w:hint="eastAsia" w:ascii="宋体" w:hAnsi="宋体" w:cs="宋体"/>
                <w:color w:val="000000"/>
                <w:kern w:val="0"/>
                <w:sz w:val="20"/>
              </w:rPr>
            </w:pPr>
          </w:p>
        </w:tc>
        <w:tc>
          <w:tcPr>
            <w:tcW w:w="1762" w:type="dxa"/>
            <w:noWrap w:val="0"/>
            <w:vAlign w:val="top"/>
          </w:tcPr>
          <w:p w14:paraId="14047CA6">
            <w:pPr>
              <w:widowControl/>
              <w:jc w:val="left"/>
              <w:rPr>
                <w:rFonts w:hint="eastAsia" w:ascii="宋体" w:hAnsi="宋体" w:cs="宋体"/>
                <w:color w:val="000000"/>
                <w:kern w:val="0"/>
                <w:sz w:val="20"/>
              </w:rPr>
            </w:pPr>
          </w:p>
        </w:tc>
      </w:tr>
      <w:tr w14:paraId="21FC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7C36010B">
            <w:pPr>
              <w:widowControl/>
              <w:jc w:val="left"/>
              <w:rPr>
                <w:rFonts w:hint="eastAsia" w:ascii="宋体" w:hAnsi="宋体" w:cs="宋体"/>
                <w:color w:val="000000"/>
                <w:kern w:val="0"/>
                <w:sz w:val="20"/>
              </w:rPr>
            </w:pPr>
          </w:p>
        </w:tc>
        <w:tc>
          <w:tcPr>
            <w:tcW w:w="1407" w:type="dxa"/>
            <w:noWrap w:val="0"/>
            <w:vAlign w:val="top"/>
          </w:tcPr>
          <w:p w14:paraId="30F07247">
            <w:pPr>
              <w:widowControl/>
              <w:jc w:val="left"/>
              <w:rPr>
                <w:rFonts w:hint="eastAsia" w:ascii="宋体" w:hAnsi="宋体" w:cs="宋体"/>
                <w:color w:val="000000"/>
                <w:kern w:val="0"/>
                <w:sz w:val="20"/>
              </w:rPr>
            </w:pPr>
          </w:p>
        </w:tc>
        <w:tc>
          <w:tcPr>
            <w:tcW w:w="1135" w:type="dxa"/>
            <w:noWrap w:val="0"/>
            <w:vAlign w:val="top"/>
          </w:tcPr>
          <w:p w14:paraId="0B0C5F10">
            <w:pPr>
              <w:widowControl/>
              <w:jc w:val="left"/>
              <w:rPr>
                <w:rFonts w:hint="eastAsia" w:ascii="宋体" w:hAnsi="宋体" w:cs="宋体"/>
                <w:color w:val="000000"/>
                <w:kern w:val="0"/>
                <w:sz w:val="20"/>
              </w:rPr>
            </w:pPr>
          </w:p>
        </w:tc>
        <w:tc>
          <w:tcPr>
            <w:tcW w:w="1768" w:type="dxa"/>
            <w:noWrap w:val="0"/>
            <w:vAlign w:val="top"/>
          </w:tcPr>
          <w:p w14:paraId="12E1C3BD">
            <w:pPr>
              <w:widowControl/>
              <w:jc w:val="left"/>
              <w:rPr>
                <w:rFonts w:hint="eastAsia" w:ascii="宋体" w:hAnsi="宋体" w:cs="宋体"/>
                <w:color w:val="000000"/>
                <w:kern w:val="0"/>
                <w:sz w:val="20"/>
              </w:rPr>
            </w:pPr>
          </w:p>
        </w:tc>
        <w:tc>
          <w:tcPr>
            <w:tcW w:w="1924" w:type="dxa"/>
            <w:noWrap w:val="0"/>
            <w:vAlign w:val="top"/>
          </w:tcPr>
          <w:p w14:paraId="3136CC18">
            <w:pPr>
              <w:widowControl/>
              <w:jc w:val="left"/>
              <w:rPr>
                <w:rFonts w:hint="eastAsia" w:ascii="宋体" w:hAnsi="宋体" w:cs="宋体"/>
                <w:color w:val="000000"/>
                <w:kern w:val="0"/>
                <w:sz w:val="20"/>
              </w:rPr>
            </w:pPr>
          </w:p>
        </w:tc>
        <w:tc>
          <w:tcPr>
            <w:tcW w:w="1762" w:type="dxa"/>
            <w:noWrap w:val="0"/>
            <w:vAlign w:val="top"/>
          </w:tcPr>
          <w:p w14:paraId="37827D86">
            <w:pPr>
              <w:widowControl/>
              <w:jc w:val="left"/>
              <w:rPr>
                <w:rFonts w:hint="eastAsia" w:ascii="宋体" w:hAnsi="宋体" w:cs="宋体"/>
                <w:color w:val="000000"/>
                <w:kern w:val="0"/>
                <w:sz w:val="20"/>
              </w:rPr>
            </w:pPr>
          </w:p>
        </w:tc>
      </w:tr>
      <w:tr w14:paraId="741D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18C23215">
            <w:pPr>
              <w:widowControl/>
              <w:jc w:val="left"/>
              <w:rPr>
                <w:rFonts w:hint="eastAsia" w:ascii="宋体" w:hAnsi="宋体" w:cs="宋体"/>
                <w:color w:val="000000"/>
                <w:kern w:val="0"/>
                <w:sz w:val="20"/>
              </w:rPr>
            </w:pPr>
          </w:p>
        </w:tc>
        <w:tc>
          <w:tcPr>
            <w:tcW w:w="1407" w:type="dxa"/>
            <w:noWrap w:val="0"/>
            <w:vAlign w:val="top"/>
          </w:tcPr>
          <w:p w14:paraId="2FA3BC80">
            <w:pPr>
              <w:widowControl/>
              <w:jc w:val="left"/>
              <w:rPr>
                <w:rFonts w:hint="eastAsia" w:ascii="宋体" w:hAnsi="宋体" w:cs="宋体"/>
                <w:color w:val="000000"/>
                <w:kern w:val="0"/>
                <w:sz w:val="20"/>
              </w:rPr>
            </w:pPr>
          </w:p>
        </w:tc>
        <w:tc>
          <w:tcPr>
            <w:tcW w:w="1135" w:type="dxa"/>
            <w:noWrap w:val="0"/>
            <w:vAlign w:val="top"/>
          </w:tcPr>
          <w:p w14:paraId="2D616C94">
            <w:pPr>
              <w:widowControl/>
              <w:jc w:val="left"/>
              <w:rPr>
                <w:rFonts w:hint="eastAsia" w:ascii="宋体" w:hAnsi="宋体" w:cs="宋体"/>
                <w:color w:val="000000"/>
                <w:kern w:val="0"/>
                <w:sz w:val="20"/>
              </w:rPr>
            </w:pPr>
          </w:p>
        </w:tc>
        <w:tc>
          <w:tcPr>
            <w:tcW w:w="1768" w:type="dxa"/>
            <w:noWrap w:val="0"/>
            <w:vAlign w:val="top"/>
          </w:tcPr>
          <w:p w14:paraId="0F5D9421">
            <w:pPr>
              <w:widowControl/>
              <w:jc w:val="left"/>
              <w:rPr>
                <w:rFonts w:hint="eastAsia" w:ascii="宋体" w:hAnsi="宋体" w:cs="宋体"/>
                <w:color w:val="000000"/>
                <w:kern w:val="0"/>
                <w:sz w:val="20"/>
              </w:rPr>
            </w:pPr>
          </w:p>
        </w:tc>
        <w:tc>
          <w:tcPr>
            <w:tcW w:w="1924" w:type="dxa"/>
            <w:noWrap w:val="0"/>
            <w:vAlign w:val="top"/>
          </w:tcPr>
          <w:p w14:paraId="334EFDDD">
            <w:pPr>
              <w:widowControl/>
              <w:jc w:val="left"/>
              <w:rPr>
                <w:rFonts w:hint="eastAsia" w:ascii="宋体" w:hAnsi="宋体" w:cs="宋体"/>
                <w:color w:val="000000"/>
                <w:kern w:val="0"/>
                <w:sz w:val="20"/>
              </w:rPr>
            </w:pPr>
          </w:p>
        </w:tc>
        <w:tc>
          <w:tcPr>
            <w:tcW w:w="1762" w:type="dxa"/>
            <w:noWrap w:val="0"/>
            <w:vAlign w:val="top"/>
          </w:tcPr>
          <w:p w14:paraId="5FEE4812">
            <w:pPr>
              <w:widowControl/>
              <w:jc w:val="left"/>
              <w:rPr>
                <w:rFonts w:hint="eastAsia" w:ascii="宋体" w:hAnsi="宋体" w:cs="宋体"/>
                <w:color w:val="000000"/>
                <w:kern w:val="0"/>
                <w:sz w:val="20"/>
              </w:rPr>
            </w:pPr>
          </w:p>
        </w:tc>
      </w:tr>
      <w:tr w14:paraId="316C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3B6B3E4C">
            <w:pPr>
              <w:widowControl/>
              <w:jc w:val="left"/>
              <w:rPr>
                <w:rFonts w:hint="eastAsia" w:ascii="宋体" w:hAnsi="宋体" w:cs="宋体"/>
                <w:color w:val="000000"/>
                <w:kern w:val="0"/>
                <w:sz w:val="20"/>
              </w:rPr>
            </w:pPr>
          </w:p>
        </w:tc>
        <w:tc>
          <w:tcPr>
            <w:tcW w:w="1407" w:type="dxa"/>
            <w:noWrap w:val="0"/>
            <w:vAlign w:val="top"/>
          </w:tcPr>
          <w:p w14:paraId="38F11F67">
            <w:pPr>
              <w:widowControl/>
              <w:jc w:val="left"/>
              <w:rPr>
                <w:rFonts w:hint="eastAsia" w:ascii="宋体" w:hAnsi="宋体" w:cs="宋体"/>
                <w:color w:val="000000"/>
                <w:kern w:val="0"/>
                <w:sz w:val="20"/>
              </w:rPr>
            </w:pPr>
          </w:p>
        </w:tc>
        <w:tc>
          <w:tcPr>
            <w:tcW w:w="1135" w:type="dxa"/>
            <w:noWrap w:val="0"/>
            <w:vAlign w:val="top"/>
          </w:tcPr>
          <w:p w14:paraId="1DE54BFC">
            <w:pPr>
              <w:widowControl/>
              <w:jc w:val="left"/>
              <w:rPr>
                <w:rFonts w:hint="eastAsia" w:ascii="宋体" w:hAnsi="宋体" w:cs="宋体"/>
                <w:color w:val="000000"/>
                <w:kern w:val="0"/>
                <w:sz w:val="20"/>
              </w:rPr>
            </w:pPr>
          </w:p>
        </w:tc>
        <w:tc>
          <w:tcPr>
            <w:tcW w:w="1768" w:type="dxa"/>
            <w:noWrap w:val="0"/>
            <w:vAlign w:val="top"/>
          </w:tcPr>
          <w:p w14:paraId="0E7F6606">
            <w:pPr>
              <w:widowControl/>
              <w:jc w:val="left"/>
              <w:rPr>
                <w:rFonts w:hint="eastAsia" w:ascii="宋体" w:hAnsi="宋体" w:cs="宋体"/>
                <w:color w:val="000000"/>
                <w:kern w:val="0"/>
                <w:sz w:val="20"/>
              </w:rPr>
            </w:pPr>
          </w:p>
        </w:tc>
        <w:tc>
          <w:tcPr>
            <w:tcW w:w="1924" w:type="dxa"/>
            <w:noWrap w:val="0"/>
            <w:vAlign w:val="top"/>
          </w:tcPr>
          <w:p w14:paraId="446952AF">
            <w:pPr>
              <w:widowControl/>
              <w:jc w:val="left"/>
              <w:rPr>
                <w:rFonts w:hint="eastAsia" w:ascii="宋体" w:hAnsi="宋体" w:cs="宋体"/>
                <w:color w:val="000000"/>
                <w:kern w:val="0"/>
                <w:sz w:val="20"/>
              </w:rPr>
            </w:pPr>
          </w:p>
        </w:tc>
        <w:tc>
          <w:tcPr>
            <w:tcW w:w="1762" w:type="dxa"/>
            <w:noWrap w:val="0"/>
            <w:vAlign w:val="top"/>
          </w:tcPr>
          <w:p w14:paraId="7156C0B9">
            <w:pPr>
              <w:widowControl/>
              <w:jc w:val="left"/>
              <w:rPr>
                <w:rFonts w:hint="eastAsia" w:ascii="宋体" w:hAnsi="宋体" w:cs="宋体"/>
                <w:color w:val="000000"/>
                <w:kern w:val="0"/>
                <w:sz w:val="20"/>
              </w:rPr>
            </w:pPr>
          </w:p>
        </w:tc>
      </w:tr>
      <w:tr w14:paraId="38A4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7C209947">
            <w:pPr>
              <w:widowControl/>
              <w:jc w:val="left"/>
              <w:rPr>
                <w:rFonts w:hint="eastAsia" w:ascii="宋体" w:hAnsi="宋体" w:cs="宋体"/>
                <w:color w:val="000000"/>
                <w:kern w:val="0"/>
                <w:sz w:val="20"/>
              </w:rPr>
            </w:pPr>
          </w:p>
        </w:tc>
        <w:tc>
          <w:tcPr>
            <w:tcW w:w="1407" w:type="dxa"/>
            <w:noWrap w:val="0"/>
            <w:vAlign w:val="top"/>
          </w:tcPr>
          <w:p w14:paraId="66FD7572">
            <w:pPr>
              <w:widowControl/>
              <w:jc w:val="left"/>
              <w:rPr>
                <w:rFonts w:hint="eastAsia" w:ascii="宋体" w:hAnsi="宋体" w:cs="宋体"/>
                <w:color w:val="000000"/>
                <w:kern w:val="0"/>
                <w:sz w:val="20"/>
              </w:rPr>
            </w:pPr>
          </w:p>
        </w:tc>
        <w:tc>
          <w:tcPr>
            <w:tcW w:w="1135" w:type="dxa"/>
            <w:noWrap w:val="0"/>
            <w:vAlign w:val="top"/>
          </w:tcPr>
          <w:p w14:paraId="74356207">
            <w:pPr>
              <w:widowControl/>
              <w:jc w:val="left"/>
              <w:rPr>
                <w:rFonts w:hint="eastAsia" w:ascii="宋体" w:hAnsi="宋体" w:cs="宋体"/>
                <w:color w:val="000000"/>
                <w:kern w:val="0"/>
                <w:sz w:val="20"/>
              </w:rPr>
            </w:pPr>
          </w:p>
        </w:tc>
        <w:tc>
          <w:tcPr>
            <w:tcW w:w="1768" w:type="dxa"/>
            <w:noWrap w:val="0"/>
            <w:vAlign w:val="top"/>
          </w:tcPr>
          <w:p w14:paraId="7810DB99">
            <w:pPr>
              <w:widowControl/>
              <w:jc w:val="left"/>
              <w:rPr>
                <w:rFonts w:hint="eastAsia" w:ascii="宋体" w:hAnsi="宋体" w:cs="宋体"/>
                <w:color w:val="000000"/>
                <w:kern w:val="0"/>
                <w:sz w:val="20"/>
              </w:rPr>
            </w:pPr>
          </w:p>
        </w:tc>
        <w:tc>
          <w:tcPr>
            <w:tcW w:w="1924" w:type="dxa"/>
            <w:noWrap w:val="0"/>
            <w:vAlign w:val="top"/>
          </w:tcPr>
          <w:p w14:paraId="29EDF60B">
            <w:pPr>
              <w:widowControl/>
              <w:jc w:val="left"/>
              <w:rPr>
                <w:rFonts w:hint="eastAsia" w:ascii="宋体" w:hAnsi="宋体" w:cs="宋体"/>
                <w:color w:val="000000"/>
                <w:kern w:val="0"/>
                <w:sz w:val="20"/>
              </w:rPr>
            </w:pPr>
          </w:p>
        </w:tc>
        <w:tc>
          <w:tcPr>
            <w:tcW w:w="1762" w:type="dxa"/>
            <w:noWrap w:val="0"/>
            <w:vAlign w:val="top"/>
          </w:tcPr>
          <w:p w14:paraId="4CE64F1E">
            <w:pPr>
              <w:widowControl/>
              <w:jc w:val="left"/>
              <w:rPr>
                <w:rFonts w:hint="eastAsia" w:ascii="宋体" w:hAnsi="宋体" w:cs="宋体"/>
                <w:color w:val="000000"/>
                <w:kern w:val="0"/>
                <w:sz w:val="20"/>
              </w:rPr>
            </w:pPr>
          </w:p>
        </w:tc>
      </w:tr>
      <w:tr w14:paraId="6867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1E636B7F">
            <w:pPr>
              <w:widowControl/>
              <w:jc w:val="left"/>
              <w:rPr>
                <w:rFonts w:hint="eastAsia" w:ascii="宋体" w:hAnsi="宋体" w:cs="宋体"/>
                <w:color w:val="000000"/>
                <w:kern w:val="0"/>
                <w:sz w:val="20"/>
              </w:rPr>
            </w:pPr>
          </w:p>
        </w:tc>
        <w:tc>
          <w:tcPr>
            <w:tcW w:w="1407" w:type="dxa"/>
            <w:noWrap w:val="0"/>
            <w:vAlign w:val="top"/>
          </w:tcPr>
          <w:p w14:paraId="532F8692">
            <w:pPr>
              <w:widowControl/>
              <w:jc w:val="left"/>
              <w:rPr>
                <w:rFonts w:hint="eastAsia" w:ascii="宋体" w:hAnsi="宋体" w:cs="宋体"/>
                <w:color w:val="000000"/>
                <w:kern w:val="0"/>
                <w:sz w:val="20"/>
              </w:rPr>
            </w:pPr>
          </w:p>
        </w:tc>
        <w:tc>
          <w:tcPr>
            <w:tcW w:w="1135" w:type="dxa"/>
            <w:noWrap w:val="0"/>
            <w:vAlign w:val="top"/>
          </w:tcPr>
          <w:p w14:paraId="27382DAB">
            <w:pPr>
              <w:widowControl/>
              <w:jc w:val="left"/>
              <w:rPr>
                <w:rFonts w:hint="eastAsia" w:ascii="宋体" w:hAnsi="宋体" w:cs="宋体"/>
                <w:color w:val="000000"/>
                <w:kern w:val="0"/>
                <w:sz w:val="20"/>
              </w:rPr>
            </w:pPr>
          </w:p>
        </w:tc>
        <w:tc>
          <w:tcPr>
            <w:tcW w:w="1768" w:type="dxa"/>
            <w:noWrap w:val="0"/>
            <w:vAlign w:val="top"/>
          </w:tcPr>
          <w:p w14:paraId="05281FB5">
            <w:pPr>
              <w:widowControl/>
              <w:jc w:val="left"/>
              <w:rPr>
                <w:rFonts w:hint="eastAsia" w:ascii="宋体" w:hAnsi="宋体" w:cs="宋体"/>
                <w:color w:val="000000"/>
                <w:kern w:val="0"/>
                <w:sz w:val="20"/>
              </w:rPr>
            </w:pPr>
          </w:p>
        </w:tc>
        <w:tc>
          <w:tcPr>
            <w:tcW w:w="1924" w:type="dxa"/>
            <w:noWrap w:val="0"/>
            <w:vAlign w:val="top"/>
          </w:tcPr>
          <w:p w14:paraId="20497398">
            <w:pPr>
              <w:widowControl/>
              <w:jc w:val="left"/>
              <w:rPr>
                <w:rFonts w:hint="eastAsia" w:ascii="宋体" w:hAnsi="宋体" w:cs="宋体"/>
                <w:color w:val="000000"/>
                <w:kern w:val="0"/>
                <w:sz w:val="20"/>
              </w:rPr>
            </w:pPr>
          </w:p>
        </w:tc>
        <w:tc>
          <w:tcPr>
            <w:tcW w:w="1762" w:type="dxa"/>
            <w:noWrap w:val="0"/>
            <w:vAlign w:val="top"/>
          </w:tcPr>
          <w:p w14:paraId="24DFCAC1">
            <w:pPr>
              <w:widowControl/>
              <w:jc w:val="left"/>
              <w:rPr>
                <w:rFonts w:hint="eastAsia" w:ascii="宋体" w:hAnsi="宋体" w:cs="宋体"/>
                <w:color w:val="000000"/>
                <w:kern w:val="0"/>
                <w:sz w:val="20"/>
              </w:rPr>
            </w:pPr>
          </w:p>
        </w:tc>
      </w:tr>
      <w:tr w14:paraId="6E3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539CDFCD">
            <w:pPr>
              <w:widowControl/>
              <w:jc w:val="left"/>
              <w:rPr>
                <w:rFonts w:hint="eastAsia" w:ascii="宋体" w:hAnsi="宋体" w:cs="宋体"/>
                <w:color w:val="000000"/>
                <w:kern w:val="0"/>
                <w:sz w:val="20"/>
              </w:rPr>
            </w:pPr>
          </w:p>
        </w:tc>
        <w:tc>
          <w:tcPr>
            <w:tcW w:w="1407" w:type="dxa"/>
            <w:noWrap w:val="0"/>
            <w:vAlign w:val="top"/>
          </w:tcPr>
          <w:p w14:paraId="19657DA3">
            <w:pPr>
              <w:widowControl/>
              <w:jc w:val="left"/>
              <w:rPr>
                <w:rFonts w:hint="eastAsia" w:ascii="宋体" w:hAnsi="宋体" w:cs="宋体"/>
                <w:color w:val="000000"/>
                <w:kern w:val="0"/>
                <w:sz w:val="20"/>
              </w:rPr>
            </w:pPr>
          </w:p>
        </w:tc>
        <w:tc>
          <w:tcPr>
            <w:tcW w:w="1135" w:type="dxa"/>
            <w:noWrap w:val="0"/>
            <w:vAlign w:val="top"/>
          </w:tcPr>
          <w:p w14:paraId="0ABF5D34">
            <w:pPr>
              <w:widowControl/>
              <w:jc w:val="left"/>
              <w:rPr>
                <w:rFonts w:hint="eastAsia" w:ascii="宋体" w:hAnsi="宋体" w:cs="宋体"/>
                <w:color w:val="000000"/>
                <w:kern w:val="0"/>
                <w:sz w:val="20"/>
              </w:rPr>
            </w:pPr>
          </w:p>
        </w:tc>
        <w:tc>
          <w:tcPr>
            <w:tcW w:w="1768" w:type="dxa"/>
            <w:noWrap w:val="0"/>
            <w:vAlign w:val="top"/>
          </w:tcPr>
          <w:p w14:paraId="611F8F98">
            <w:pPr>
              <w:widowControl/>
              <w:jc w:val="left"/>
              <w:rPr>
                <w:rFonts w:hint="eastAsia" w:ascii="宋体" w:hAnsi="宋体" w:cs="宋体"/>
                <w:color w:val="000000"/>
                <w:kern w:val="0"/>
                <w:sz w:val="20"/>
              </w:rPr>
            </w:pPr>
          </w:p>
        </w:tc>
        <w:tc>
          <w:tcPr>
            <w:tcW w:w="1924" w:type="dxa"/>
            <w:noWrap w:val="0"/>
            <w:vAlign w:val="top"/>
          </w:tcPr>
          <w:p w14:paraId="05DE5B8F">
            <w:pPr>
              <w:widowControl/>
              <w:jc w:val="left"/>
              <w:rPr>
                <w:rFonts w:hint="eastAsia" w:ascii="宋体" w:hAnsi="宋体" w:cs="宋体"/>
                <w:color w:val="000000"/>
                <w:kern w:val="0"/>
                <w:sz w:val="20"/>
              </w:rPr>
            </w:pPr>
          </w:p>
        </w:tc>
        <w:tc>
          <w:tcPr>
            <w:tcW w:w="1762" w:type="dxa"/>
            <w:noWrap w:val="0"/>
            <w:vAlign w:val="top"/>
          </w:tcPr>
          <w:p w14:paraId="65EB8DC6">
            <w:pPr>
              <w:widowControl/>
              <w:jc w:val="left"/>
              <w:rPr>
                <w:rFonts w:hint="eastAsia" w:ascii="宋体" w:hAnsi="宋体" w:cs="宋体"/>
                <w:color w:val="000000"/>
                <w:kern w:val="0"/>
                <w:sz w:val="20"/>
              </w:rPr>
            </w:pPr>
          </w:p>
        </w:tc>
      </w:tr>
      <w:tr w14:paraId="75F5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22F2B9EF">
            <w:pPr>
              <w:widowControl/>
              <w:jc w:val="left"/>
              <w:rPr>
                <w:rFonts w:hint="eastAsia" w:ascii="宋体" w:hAnsi="宋体" w:cs="宋体"/>
                <w:color w:val="000000"/>
                <w:kern w:val="0"/>
                <w:sz w:val="20"/>
              </w:rPr>
            </w:pPr>
          </w:p>
        </w:tc>
        <w:tc>
          <w:tcPr>
            <w:tcW w:w="1407" w:type="dxa"/>
            <w:noWrap w:val="0"/>
            <w:vAlign w:val="top"/>
          </w:tcPr>
          <w:p w14:paraId="328CBF60">
            <w:pPr>
              <w:widowControl/>
              <w:jc w:val="left"/>
              <w:rPr>
                <w:rFonts w:hint="eastAsia" w:ascii="宋体" w:hAnsi="宋体" w:cs="宋体"/>
                <w:color w:val="000000"/>
                <w:kern w:val="0"/>
                <w:sz w:val="20"/>
              </w:rPr>
            </w:pPr>
          </w:p>
        </w:tc>
        <w:tc>
          <w:tcPr>
            <w:tcW w:w="1135" w:type="dxa"/>
            <w:noWrap w:val="0"/>
            <w:vAlign w:val="top"/>
          </w:tcPr>
          <w:p w14:paraId="4A748337">
            <w:pPr>
              <w:widowControl/>
              <w:jc w:val="left"/>
              <w:rPr>
                <w:rFonts w:hint="eastAsia" w:ascii="宋体" w:hAnsi="宋体" w:cs="宋体"/>
                <w:color w:val="000000"/>
                <w:kern w:val="0"/>
                <w:sz w:val="20"/>
              </w:rPr>
            </w:pPr>
          </w:p>
        </w:tc>
        <w:tc>
          <w:tcPr>
            <w:tcW w:w="1768" w:type="dxa"/>
            <w:noWrap w:val="0"/>
            <w:vAlign w:val="top"/>
          </w:tcPr>
          <w:p w14:paraId="74FE9F43">
            <w:pPr>
              <w:widowControl/>
              <w:jc w:val="left"/>
              <w:rPr>
                <w:rFonts w:hint="eastAsia" w:ascii="宋体" w:hAnsi="宋体" w:cs="宋体"/>
                <w:color w:val="000000"/>
                <w:kern w:val="0"/>
                <w:sz w:val="20"/>
              </w:rPr>
            </w:pPr>
          </w:p>
        </w:tc>
        <w:tc>
          <w:tcPr>
            <w:tcW w:w="1924" w:type="dxa"/>
            <w:noWrap w:val="0"/>
            <w:vAlign w:val="top"/>
          </w:tcPr>
          <w:p w14:paraId="7283BC38">
            <w:pPr>
              <w:widowControl/>
              <w:jc w:val="left"/>
              <w:rPr>
                <w:rFonts w:hint="eastAsia" w:ascii="宋体" w:hAnsi="宋体" w:cs="宋体"/>
                <w:color w:val="000000"/>
                <w:kern w:val="0"/>
                <w:sz w:val="20"/>
              </w:rPr>
            </w:pPr>
          </w:p>
        </w:tc>
        <w:tc>
          <w:tcPr>
            <w:tcW w:w="1762" w:type="dxa"/>
            <w:noWrap w:val="0"/>
            <w:vAlign w:val="top"/>
          </w:tcPr>
          <w:p w14:paraId="3605F83E">
            <w:pPr>
              <w:widowControl/>
              <w:jc w:val="left"/>
              <w:rPr>
                <w:rFonts w:hint="eastAsia" w:ascii="宋体" w:hAnsi="宋体" w:cs="宋体"/>
                <w:color w:val="000000"/>
                <w:kern w:val="0"/>
                <w:sz w:val="20"/>
              </w:rPr>
            </w:pPr>
          </w:p>
        </w:tc>
      </w:tr>
      <w:tr w14:paraId="3533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62CA7CCE">
            <w:pPr>
              <w:widowControl/>
              <w:jc w:val="left"/>
              <w:rPr>
                <w:rFonts w:hint="eastAsia" w:ascii="宋体" w:hAnsi="宋体" w:cs="宋体"/>
                <w:color w:val="000000"/>
                <w:kern w:val="0"/>
                <w:sz w:val="20"/>
              </w:rPr>
            </w:pPr>
          </w:p>
        </w:tc>
        <w:tc>
          <w:tcPr>
            <w:tcW w:w="1407" w:type="dxa"/>
            <w:noWrap w:val="0"/>
            <w:vAlign w:val="top"/>
          </w:tcPr>
          <w:p w14:paraId="2D942AD7">
            <w:pPr>
              <w:widowControl/>
              <w:jc w:val="left"/>
              <w:rPr>
                <w:rFonts w:hint="eastAsia" w:ascii="宋体" w:hAnsi="宋体" w:cs="宋体"/>
                <w:color w:val="000000"/>
                <w:kern w:val="0"/>
                <w:sz w:val="20"/>
              </w:rPr>
            </w:pPr>
          </w:p>
        </w:tc>
        <w:tc>
          <w:tcPr>
            <w:tcW w:w="1135" w:type="dxa"/>
            <w:noWrap w:val="0"/>
            <w:vAlign w:val="top"/>
          </w:tcPr>
          <w:p w14:paraId="25377C0A">
            <w:pPr>
              <w:widowControl/>
              <w:jc w:val="left"/>
              <w:rPr>
                <w:rFonts w:hint="eastAsia" w:ascii="宋体" w:hAnsi="宋体" w:cs="宋体"/>
                <w:color w:val="000000"/>
                <w:kern w:val="0"/>
                <w:sz w:val="20"/>
              </w:rPr>
            </w:pPr>
          </w:p>
        </w:tc>
        <w:tc>
          <w:tcPr>
            <w:tcW w:w="1768" w:type="dxa"/>
            <w:noWrap w:val="0"/>
            <w:vAlign w:val="top"/>
          </w:tcPr>
          <w:p w14:paraId="30A7026C">
            <w:pPr>
              <w:widowControl/>
              <w:jc w:val="left"/>
              <w:rPr>
                <w:rFonts w:hint="eastAsia" w:ascii="宋体" w:hAnsi="宋体" w:cs="宋体"/>
                <w:color w:val="000000"/>
                <w:kern w:val="0"/>
                <w:sz w:val="20"/>
              </w:rPr>
            </w:pPr>
          </w:p>
        </w:tc>
        <w:tc>
          <w:tcPr>
            <w:tcW w:w="1924" w:type="dxa"/>
            <w:noWrap w:val="0"/>
            <w:vAlign w:val="top"/>
          </w:tcPr>
          <w:p w14:paraId="3C6C59F3">
            <w:pPr>
              <w:widowControl/>
              <w:jc w:val="left"/>
              <w:rPr>
                <w:rFonts w:hint="eastAsia" w:ascii="宋体" w:hAnsi="宋体" w:cs="宋体"/>
                <w:color w:val="000000"/>
                <w:kern w:val="0"/>
                <w:sz w:val="20"/>
              </w:rPr>
            </w:pPr>
          </w:p>
        </w:tc>
        <w:tc>
          <w:tcPr>
            <w:tcW w:w="1762" w:type="dxa"/>
            <w:noWrap w:val="0"/>
            <w:vAlign w:val="top"/>
          </w:tcPr>
          <w:p w14:paraId="6033EE3A">
            <w:pPr>
              <w:widowControl/>
              <w:jc w:val="left"/>
              <w:rPr>
                <w:rFonts w:hint="eastAsia" w:ascii="宋体" w:hAnsi="宋体" w:cs="宋体"/>
                <w:color w:val="000000"/>
                <w:kern w:val="0"/>
                <w:sz w:val="20"/>
              </w:rPr>
            </w:pPr>
          </w:p>
        </w:tc>
      </w:tr>
      <w:tr w14:paraId="5AAE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04C3C9D6">
            <w:pPr>
              <w:widowControl/>
              <w:jc w:val="left"/>
              <w:rPr>
                <w:rFonts w:hint="eastAsia" w:ascii="宋体" w:hAnsi="宋体" w:cs="宋体"/>
                <w:color w:val="000000"/>
                <w:kern w:val="0"/>
                <w:sz w:val="20"/>
              </w:rPr>
            </w:pPr>
          </w:p>
        </w:tc>
        <w:tc>
          <w:tcPr>
            <w:tcW w:w="1407" w:type="dxa"/>
            <w:noWrap w:val="0"/>
            <w:vAlign w:val="top"/>
          </w:tcPr>
          <w:p w14:paraId="48115E9F">
            <w:pPr>
              <w:widowControl/>
              <w:jc w:val="left"/>
              <w:rPr>
                <w:rFonts w:hint="eastAsia" w:ascii="宋体" w:hAnsi="宋体" w:cs="宋体"/>
                <w:color w:val="000000"/>
                <w:kern w:val="0"/>
                <w:sz w:val="20"/>
              </w:rPr>
            </w:pPr>
          </w:p>
        </w:tc>
        <w:tc>
          <w:tcPr>
            <w:tcW w:w="1135" w:type="dxa"/>
            <w:noWrap w:val="0"/>
            <w:vAlign w:val="top"/>
          </w:tcPr>
          <w:p w14:paraId="3BA3FE18">
            <w:pPr>
              <w:widowControl/>
              <w:jc w:val="left"/>
              <w:rPr>
                <w:rFonts w:hint="eastAsia" w:ascii="宋体" w:hAnsi="宋体" w:cs="宋体"/>
                <w:color w:val="000000"/>
                <w:kern w:val="0"/>
                <w:sz w:val="20"/>
              </w:rPr>
            </w:pPr>
          </w:p>
        </w:tc>
        <w:tc>
          <w:tcPr>
            <w:tcW w:w="1768" w:type="dxa"/>
            <w:noWrap w:val="0"/>
            <w:vAlign w:val="top"/>
          </w:tcPr>
          <w:p w14:paraId="14D63935">
            <w:pPr>
              <w:widowControl/>
              <w:jc w:val="left"/>
              <w:rPr>
                <w:rFonts w:hint="eastAsia" w:ascii="宋体" w:hAnsi="宋体" w:cs="宋体"/>
                <w:color w:val="000000"/>
                <w:kern w:val="0"/>
                <w:sz w:val="20"/>
              </w:rPr>
            </w:pPr>
          </w:p>
        </w:tc>
        <w:tc>
          <w:tcPr>
            <w:tcW w:w="1924" w:type="dxa"/>
            <w:noWrap w:val="0"/>
            <w:vAlign w:val="top"/>
          </w:tcPr>
          <w:p w14:paraId="412FF88F">
            <w:pPr>
              <w:widowControl/>
              <w:jc w:val="left"/>
              <w:rPr>
                <w:rFonts w:hint="eastAsia" w:ascii="宋体" w:hAnsi="宋体" w:cs="宋体"/>
                <w:color w:val="000000"/>
                <w:kern w:val="0"/>
                <w:sz w:val="20"/>
              </w:rPr>
            </w:pPr>
          </w:p>
        </w:tc>
        <w:tc>
          <w:tcPr>
            <w:tcW w:w="1762" w:type="dxa"/>
            <w:noWrap w:val="0"/>
            <w:vAlign w:val="top"/>
          </w:tcPr>
          <w:p w14:paraId="538DB26C">
            <w:pPr>
              <w:widowControl/>
              <w:jc w:val="left"/>
              <w:rPr>
                <w:rFonts w:hint="eastAsia" w:ascii="宋体" w:hAnsi="宋体" w:cs="宋体"/>
                <w:color w:val="000000"/>
                <w:kern w:val="0"/>
                <w:sz w:val="20"/>
              </w:rPr>
            </w:pPr>
          </w:p>
        </w:tc>
      </w:tr>
      <w:tr w14:paraId="439E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71504FF6">
            <w:pPr>
              <w:widowControl/>
              <w:jc w:val="left"/>
              <w:rPr>
                <w:rFonts w:hint="eastAsia" w:ascii="宋体" w:hAnsi="宋体" w:cs="宋体"/>
                <w:color w:val="000000"/>
                <w:kern w:val="0"/>
                <w:sz w:val="20"/>
              </w:rPr>
            </w:pPr>
          </w:p>
        </w:tc>
        <w:tc>
          <w:tcPr>
            <w:tcW w:w="1407" w:type="dxa"/>
            <w:noWrap w:val="0"/>
            <w:vAlign w:val="top"/>
          </w:tcPr>
          <w:p w14:paraId="743BDBCE">
            <w:pPr>
              <w:widowControl/>
              <w:jc w:val="left"/>
              <w:rPr>
                <w:rFonts w:hint="eastAsia" w:ascii="宋体" w:hAnsi="宋体" w:cs="宋体"/>
                <w:color w:val="000000"/>
                <w:kern w:val="0"/>
                <w:sz w:val="20"/>
              </w:rPr>
            </w:pPr>
          </w:p>
        </w:tc>
        <w:tc>
          <w:tcPr>
            <w:tcW w:w="1135" w:type="dxa"/>
            <w:noWrap w:val="0"/>
            <w:vAlign w:val="top"/>
          </w:tcPr>
          <w:p w14:paraId="14EFDC66">
            <w:pPr>
              <w:widowControl/>
              <w:jc w:val="left"/>
              <w:rPr>
                <w:rFonts w:hint="eastAsia" w:ascii="宋体" w:hAnsi="宋体" w:cs="宋体"/>
                <w:color w:val="000000"/>
                <w:kern w:val="0"/>
                <w:sz w:val="20"/>
              </w:rPr>
            </w:pPr>
          </w:p>
        </w:tc>
        <w:tc>
          <w:tcPr>
            <w:tcW w:w="1768" w:type="dxa"/>
            <w:noWrap w:val="0"/>
            <w:vAlign w:val="top"/>
          </w:tcPr>
          <w:p w14:paraId="4A2050D9">
            <w:pPr>
              <w:widowControl/>
              <w:jc w:val="left"/>
              <w:rPr>
                <w:rFonts w:hint="eastAsia" w:ascii="宋体" w:hAnsi="宋体" w:cs="宋体"/>
                <w:color w:val="000000"/>
                <w:kern w:val="0"/>
                <w:sz w:val="20"/>
              </w:rPr>
            </w:pPr>
          </w:p>
        </w:tc>
        <w:tc>
          <w:tcPr>
            <w:tcW w:w="1924" w:type="dxa"/>
            <w:noWrap w:val="0"/>
            <w:vAlign w:val="top"/>
          </w:tcPr>
          <w:p w14:paraId="72AA7583">
            <w:pPr>
              <w:widowControl/>
              <w:jc w:val="left"/>
              <w:rPr>
                <w:rFonts w:hint="eastAsia" w:ascii="宋体" w:hAnsi="宋体" w:cs="宋体"/>
                <w:color w:val="000000"/>
                <w:kern w:val="0"/>
                <w:sz w:val="20"/>
              </w:rPr>
            </w:pPr>
          </w:p>
        </w:tc>
        <w:tc>
          <w:tcPr>
            <w:tcW w:w="1762" w:type="dxa"/>
            <w:noWrap w:val="0"/>
            <w:vAlign w:val="top"/>
          </w:tcPr>
          <w:p w14:paraId="13F35584">
            <w:pPr>
              <w:widowControl/>
              <w:jc w:val="left"/>
              <w:rPr>
                <w:rFonts w:hint="eastAsia" w:ascii="宋体" w:hAnsi="宋体" w:cs="宋体"/>
                <w:color w:val="000000"/>
                <w:kern w:val="0"/>
                <w:sz w:val="20"/>
              </w:rPr>
            </w:pPr>
          </w:p>
        </w:tc>
      </w:tr>
      <w:tr w14:paraId="1AD7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5559A675">
            <w:pPr>
              <w:widowControl/>
              <w:jc w:val="left"/>
              <w:rPr>
                <w:rFonts w:hint="eastAsia" w:ascii="宋体" w:hAnsi="宋体" w:cs="宋体"/>
                <w:color w:val="000000"/>
                <w:kern w:val="0"/>
                <w:sz w:val="20"/>
              </w:rPr>
            </w:pPr>
          </w:p>
        </w:tc>
        <w:tc>
          <w:tcPr>
            <w:tcW w:w="1407" w:type="dxa"/>
            <w:noWrap w:val="0"/>
            <w:vAlign w:val="top"/>
          </w:tcPr>
          <w:p w14:paraId="0954A034">
            <w:pPr>
              <w:widowControl/>
              <w:jc w:val="left"/>
              <w:rPr>
                <w:rFonts w:hint="eastAsia" w:ascii="宋体" w:hAnsi="宋体" w:cs="宋体"/>
                <w:color w:val="000000"/>
                <w:kern w:val="0"/>
                <w:sz w:val="20"/>
              </w:rPr>
            </w:pPr>
          </w:p>
        </w:tc>
        <w:tc>
          <w:tcPr>
            <w:tcW w:w="1135" w:type="dxa"/>
            <w:noWrap w:val="0"/>
            <w:vAlign w:val="top"/>
          </w:tcPr>
          <w:p w14:paraId="4005A6F2">
            <w:pPr>
              <w:widowControl/>
              <w:jc w:val="left"/>
              <w:rPr>
                <w:rFonts w:hint="eastAsia" w:ascii="宋体" w:hAnsi="宋体" w:cs="宋体"/>
                <w:color w:val="000000"/>
                <w:kern w:val="0"/>
                <w:sz w:val="20"/>
              </w:rPr>
            </w:pPr>
          </w:p>
        </w:tc>
        <w:tc>
          <w:tcPr>
            <w:tcW w:w="1768" w:type="dxa"/>
            <w:noWrap w:val="0"/>
            <w:vAlign w:val="top"/>
          </w:tcPr>
          <w:p w14:paraId="1FA61974">
            <w:pPr>
              <w:widowControl/>
              <w:jc w:val="left"/>
              <w:rPr>
                <w:rFonts w:hint="eastAsia" w:ascii="宋体" w:hAnsi="宋体" w:cs="宋体"/>
                <w:color w:val="000000"/>
                <w:kern w:val="0"/>
                <w:sz w:val="20"/>
              </w:rPr>
            </w:pPr>
          </w:p>
        </w:tc>
        <w:tc>
          <w:tcPr>
            <w:tcW w:w="1924" w:type="dxa"/>
            <w:noWrap w:val="0"/>
            <w:vAlign w:val="top"/>
          </w:tcPr>
          <w:p w14:paraId="20209AE2">
            <w:pPr>
              <w:widowControl/>
              <w:jc w:val="left"/>
              <w:rPr>
                <w:rFonts w:hint="eastAsia" w:ascii="宋体" w:hAnsi="宋体" w:cs="宋体"/>
                <w:color w:val="000000"/>
                <w:kern w:val="0"/>
                <w:sz w:val="20"/>
              </w:rPr>
            </w:pPr>
          </w:p>
        </w:tc>
        <w:tc>
          <w:tcPr>
            <w:tcW w:w="1762" w:type="dxa"/>
            <w:noWrap w:val="0"/>
            <w:vAlign w:val="top"/>
          </w:tcPr>
          <w:p w14:paraId="55FFCC68">
            <w:pPr>
              <w:widowControl/>
              <w:jc w:val="left"/>
              <w:rPr>
                <w:rFonts w:hint="eastAsia" w:ascii="宋体" w:hAnsi="宋体" w:cs="宋体"/>
                <w:color w:val="000000"/>
                <w:kern w:val="0"/>
                <w:sz w:val="20"/>
              </w:rPr>
            </w:pPr>
          </w:p>
        </w:tc>
      </w:tr>
      <w:tr w14:paraId="7CB0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3350898C">
            <w:pPr>
              <w:widowControl/>
              <w:jc w:val="left"/>
              <w:rPr>
                <w:rFonts w:hint="eastAsia" w:ascii="宋体" w:hAnsi="宋体" w:cs="宋体"/>
                <w:color w:val="000000"/>
                <w:kern w:val="0"/>
                <w:sz w:val="20"/>
              </w:rPr>
            </w:pPr>
          </w:p>
        </w:tc>
        <w:tc>
          <w:tcPr>
            <w:tcW w:w="1407" w:type="dxa"/>
            <w:noWrap w:val="0"/>
            <w:vAlign w:val="top"/>
          </w:tcPr>
          <w:p w14:paraId="2367F7CA">
            <w:pPr>
              <w:widowControl/>
              <w:jc w:val="left"/>
              <w:rPr>
                <w:rFonts w:hint="eastAsia" w:ascii="宋体" w:hAnsi="宋体" w:cs="宋体"/>
                <w:color w:val="000000"/>
                <w:kern w:val="0"/>
                <w:sz w:val="20"/>
              </w:rPr>
            </w:pPr>
          </w:p>
        </w:tc>
        <w:tc>
          <w:tcPr>
            <w:tcW w:w="1135" w:type="dxa"/>
            <w:noWrap w:val="0"/>
            <w:vAlign w:val="top"/>
          </w:tcPr>
          <w:p w14:paraId="58CDE459">
            <w:pPr>
              <w:widowControl/>
              <w:jc w:val="left"/>
              <w:rPr>
                <w:rFonts w:hint="eastAsia" w:ascii="宋体" w:hAnsi="宋体" w:cs="宋体"/>
                <w:color w:val="000000"/>
                <w:kern w:val="0"/>
                <w:sz w:val="20"/>
              </w:rPr>
            </w:pPr>
          </w:p>
        </w:tc>
        <w:tc>
          <w:tcPr>
            <w:tcW w:w="1768" w:type="dxa"/>
            <w:noWrap w:val="0"/>
            <w:vAlign w:val="top"/>
          </w:tcPr>
          <w:p w14:paraId="0D0104CA">
            <w:pPr>
              <w:widowControl/>
              <w:jc w:val="left"/>
              <w:rPr>
                <w:rFonts w:hint="eastAsia" w:ascii="宋体" w:hAnsi="宋体" w:cs="宋体"/>
                <w:color w:val="000000"/>
                <w:kern w:val="0"/>
                <w:sz w:val="20"/>
              </w:rPr>
            </w:pPr>
          </w:p>
        </w:tc>
        <w:tc>
          <w:tcPr>
            <w:tcW w:w="1924" w:type="dxa"/>
            <w:noWrap w:val="0"/>
            <w:vAlign w:val="top"/>
          </w:tcPr>
          <w:p w14:paraId="39F5AB91">
            <w:pPr>
              <w:widowControl/>
              <w:jc w:val="left"/>
              <w:rPr>
                <w:rFonts w:hint="eastAsia" w:ascii="宋体" w:hAnsi="宋体" w:cs="宋体"/>
                <w:color w:val="000000"/>
                <w:kern w:val="0"/>
                <w:sz w:val="20"/>
              </w:rPr>
            </w:pPr>
          </w:p>
        </w:tc>
        <w:tc>
          <w:tcPr>
            <w:tcW w:w="1762" w:type="dxa"/>
            <w:noWrap w:val="0"/>
            <w:vAlign w:val="top"/>
          </w:tcPr>
          <w:p w14:paraId="426474F4">
            <w:pPr>
              <w:widowControl/>
              <w:jc w:val="left"/>
              <w:rPr>
                <w:rFonts w:hint="eastAsia" w:ascii="宋体" w:hAnsi="宋体" w:cs="宋体"/>
                <w:color w:val="000000"/>
                <w:kern w:val="0"/>
                <w:sz w:val="20"/>
              </w:rPr>
            </w:pPr>
          </w:p>
        </w:tc>
      </w:tr>
      <w:tr w14:paraId="23BA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40" w:type="dxa"/>
            <w:noWrap w:val="0"/>
            <w:vAlign w:val="top"/>
          </w:tcPr>
          <w:p w14:paraId="14B0B62C">
            <w:pPr>
              <w:widowControl/>
              <w:jc w:val="left"/>
              <w:rPr>
                <w:rFonts w:hint="eastAsia" w:ascii="宋体" w:hAnsi="宋体" w:cs="宋体"/>
                <w:color w:val="000000"/>
                <w:kern w:val="0"/>
                <w:sz w:val="20"/>
              </w:rPr>
            </w:pPr>
          </w:p>
        </w:tc>
        <w:tc>
          <w:tcPr>
            <w:tcW w:w="1407" w:type="dxa"/>
            <w:noWrap w:val="0"/>
            <w:vAlign w:val="top"/>
          </w:tcPr>
          <w:p w14:paraId="58044484">
            <w:pPr>
              <w:widowControl/>
              <w:jc w:val="left"/>
              <w:rPr>
                <w:rFonts w:hint="eastAsia" w:ascii="宋体" w:hAnsi="宋体" w:cs="宋体"/>
                <w:color w:val="000000"/>
                <w:kern w:val="0"/>
                <w:sz w:val="20"/>
              </w:rPr>
            </w:pPr>
          </w:p>
        </w:tc>
        <w:tc>
          <w:tcPr>
            <w:tcW w:w="1135" w:type="dxa"/>
            <w:noWrap w:val="0"/>
            <w:vAlign w:val="top"/>
          </w:tcPr>
          <w:p w14:paraId="2B8AA1CA">
            <w:pPr>
              <w:widowControl/>
              <w:jc w:val="left"/>
              <w:rPr>
                <w:rFonts w:hint="eastAsia" w:ascii="宋体" w:hAnsi="宋体" w:cs="宋体"/>
                <w:color w:val="000000"/>
                <w:kern w:val="0"/>
                <w:sz w:val="20"/>
              </w:rPr>
            </w:pPr>
          </w:p>
        </w:tc>
        <w:tc>
          <w:tcPr>
            <w:tcW w:w="1768" w:type="dxa"/>
            <w:noWrap w:val="0"/>
            <w:vAlign w:val="top"/>
          </w:tcPr>
          <w:p w14:paraId="36EE0E69">
            <w:pPr>
              <w:widowControl/>
              <w:jc w:val="left"/>
              <w:rPr>
                <w:rFonts w:hint="eastAsia" w:ascii="宋体" w:hAnsi="宋体" w:cs="宋体"/>
                <w:color w:val="000000"/>
                <w:kern w:val="0"/>
                <w:sz w:val="20"/>
              </w:rPr>
            </w:pPr>
          </w:p>
        </w:tc>
        <w:tc>
          <w:tcPr>
            <w:tcW w:w="1924" w:type="dxa"/>
            <w:noWrap w:val="0"/>
            <w:vAlign w:val="top"/>
          </w:tcPr>
          <w:p w14:paraId="43EB2251">
            <w:pPr>
              <w:widowControl/>
              <w:jc w:val="left"/>
              <w:rPr>
                <w:rFonts w:hint="eastAsia" w:ascii="宋体" w:hAnsi="宋体" w:cs="宋体"/>
                <w:color w:val="000000"/>
                <w:kern w:val="0"/>
                <w:sz w:val="20"/>
              </w:rPr>
            </w:pPr>
          </w:p>
        </w:tc>
        <w:tc>
          <w:tcPr>
            <w:tcW w:w="1762" w:type="dxa"/>
            <w:noWrap w:val="0"/>
            <w:vAlign w:val="top"/>
          </w:tcPr>
          <w:p w14:paraId="3BC92F4A">
            <w:pPr>
              <w:widowControl/>
              <w:jc w:val="left"/>
              <w:rPr>
                <w:rFonts w:hint="eastAsia" w:ascii="宋体" w:hAnsi="宋体" w:cs="宋体"/>
                <w:color w:val="000000"/>
                <w:kern w:val="0"/>
                <w:sz w:val="20"/>
              </w:rPr>
            </w:pPr>
          </w:p>
        </w:tc>
      </w:tr>
    </w:tbl>
    <w:p w14:paraId="15156511">
      <w:pPr>
        <w:autoSpaceDE w:val="0"/>
        <w:autoSpaceDN w:val="0"/>
        <w:spacing w:line="700" w:lineRule="exact"/>
        <w:jc w:val="left"/>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附件2：</w:t>
      </w:r>
    </w:p>
    <w:tbl>
      <w:tblPr>
        <w:tblStyle w:val="5"/>
        <w:tblpPr w:leftFromText="180" w:rightFromText="180" w:vertAnchor="text" w:horzAnchor="page" w:tblpX="1739" w:tblpY="806"/>
        <w:tblW w:w="8801" w:type="dxa"/>
        <w:tblInd w:w="0" w:type="dxa"/>
        <w:tblLayout w:type="fixed"/>
        <w:tblCellMar>
          <w:top w:w="0" w:type="dxa"/>
          <w:left w:w="10" w:type="dxa"/>
          <w:bottom w:w="0" w:type="dxa"/>
          <w:right w:w="10" w:type="dxa"/>
        </w:tblCellMar>
      </w:tblPr>
      <w:tblGrid>
        <w:gridCol w:w="1354"/>
        <w:gridCol w:w="3373"/>
        <w:gridCol w:w="1984"/>
        <w:gridCol w:w="2090"/>
      </w:tblGrid>
      <w:tr w14:paraId="088A827B">
        <w:tblPrEx>
          <w:tblCellMar>
            <w:top w:w="0" w:type="dxa"/>
            <w:left w:w="10" w:type="dxa"/>
            <w:bottom w:w="0" w:type="dxa"/>
            <w:right w:w="10" w:type="dxa"/>
          </w:tblCellMar>
        </w:tblPrEx>
        <w:trPr>
          <w:trHeight w:val="621" w:hRule="atLeast"/>
        </w:trPr>
        <w:tc>
          <w:tcPr>
            <w:tcW w:w="1354" w:type="dxa"/>
            <w:tcBorders>
              <w:top w:val="single" w:color="auto" w:sz="6" w:space="0"/>
              <w:left w:val="single" w:color="auto" w:sz="6" w:space="0"/>
              <w:bottom w:val="single" w:color="auto" w:sz="6" w:space="0"/>
              <w:right w:val="single" w:color="auto" w:sz="6" w:space="0"/>
            </w:tcBorders>
            <w:noWrap w:val="0"/>
            <w:vAlign w:val="center"/>
          </w:tcPr>
          <w:p w14:paraId="4D8E7F4B">
            <w:pPr>
              <w:autoSpaceDE w:val="0"/>
              <w:autoSpaceDN w:val="0"/>
              <w:spacing w:line="600" w:lineRule="exact"/>
              <w:jc w:val="center"/>
              <w:rPr>
                <w:rFonts w:eastAsia="Times New Roman"/>
                <w:color w:val="000000"/>
                <w:sz w:val="24"/>
                <w:szCs w:val="24"/>
              </w:rPr>
            </w:pPr>
            <w:r>
              <w:rPr>
                <w:rFonts w:hint="eastAsia" w:ascii="宋体" w:hAnsi="宋体"/>
                <w:color w:val="000000"/>
                <w:sz w:val="24"/>
                <w:szCs w:val="24"/>
                <w:lang w:val="zh-CN"/>
              </w:rPr>
              <w:t>药店名称</w:t>
            </w:r>
          </w:p>
        </w:tc>
        <w:tc>
          <w:tcPr>
            <w:tcW w:w="7447" w:type="dxa"/>
            <w:gridSpan w:val="3"/>
            <w:tcBorders>
              <w:top w:val="single" w:color="auto" w:sz="6" w:space="0"/>
              <w:left w:val="single" w:color="auto" w:sz="6" w:space="0"/>
              <w:bottom w:val="single" w:color="auto" w:sz="6" w:space="0"/>
              <w:right w:val="single" w:color="auto" w:sz="6" w:space="0"/>
            </w:tcBorders>
            <w:noWrap w:val="0"/>
            <w:vAlign w:val="center"/>
          </w:tcPr>
          <w:p w14:paraId="6989A02D">
            <w:pPr>
              <w:autoSpaceDE w:val="0"/>
              <w:autoSpaceDN w:val="0"/>
              <w:spacing w:line="600" w:lineRule="exact"/>
              <w:jc w:val="center"/>
              <w:rPr>
                <w:rFonts w:eastAsia="Times New Roman"/>
                <w:color w:val="000000"/>
                <w:sz w:val="24"/>
                <w:szCs w:val="24"/>
              </w:rPr>
            </w:pPr>
          </w:p>
        </w:tc>
      </w:tr>
      <w:tr w14:paraId="688EBC2C">
        <w:tblPrEx>
          <w:tblCellMar>
            <w:top w:w="0" w:type="dxa"/>
            <w:left w:w="10" w:type="dxa"/>
            <w:bottom w:w="0" w:type="dxa"/>
            <w:right w:w="10" w:type="dxa"/>
          </w:tblCellMar>
        </w:tblPrEx>
        <w:trPr>
          <w:trHeight w:val="591" w:hRule="atLeast"/>
        </w:trPr>
        <w:tc>
          <w:tcPr>
            <w:tcW w:w="1354" w:type="dxa"/>
            <w:tcBorders>
              <w:top w:val="single" w:color="auto" w:sz="6" w:space="0"/>
              <w:left w:val="single" w:color="auto" w:sz="6" w:space="0"/>
              <w:bottom w:val="single" w:color="auto" w:sz="6" w:space="0"/>
              <w:right w:val="single" w:color="auto" w:sz="6" w:space="0"/>
            </w:tcBorders>
            <w:noWrap w:val="0"/>
            <w:vAlign w:val="center"/>
          </w:tcPr>
          <w:p w14:paraId="0E726FA4">
            <w:pPr>
              <w:autoSpaceDE w:val="0"/>
              <w:autoSpaceDN w:val="0"/>
              <w:spacing w:line="600" w:lineRule="exact"/>
              <w:jc w:val="center"/>
              <w:rPr>
                <w:rFonts w:hint="eastAsia" w:ascii="宋体" w:hAnsi="宋体"/>
                <w:color w:val="000000"/>
                <w:sz w:val="24"/>
                <w:szCs w:val="24"/>
                <w:lang w:val="zh-CN"/>
              </w:rPr>
            </w:pPr>
            <w:r>
              <w:rPr>
                <w:rFonts w:hint="eastAsia" w:ascii="宋体" w:hAnsi="宋体"/>
                <w:color w:val="000000"/>
                <w:sz w:val="21"/>
                <w:szCs w:val="21"/>
                <w:lang w:val="zh-CN"/>
              </w:rPr>
              <w:t>药店国家代码</w:t>
            </w:r>
          </w:p>
        </w:tc>
        <w:tc>
          <w:tcPr>
            <w:tcW w:w="3373" w:type="dxa"/>
            <w:tcBorders>
              <w:top w:val="single" w:color="auto" w:sz="6" w:space="0"/>
              <w:left w:val="single" w:color="auto" w:sz="6" w:space="0"/>
              <w:bottom w:val="single" w:color="auto" w:sz="6" w:space="0"/>
              <w:right w:val="single" w:color="auto" w:sz="6" w:space="0"/>
            </w:tcBorders>
            <w:noWrap w:val="0"/>
            <w:vAlign w:val="center"/>
          </w:tcPr>
          <w:p w14:paraId="12176F97">
            <w:pPr>
              <w:autoSpaceDE w:val="0"/>
              <w:autoSpaceDN w:val="0"/>
              <w:spacing w:line="600" w:lineRule="exact"/>
              <w:jc w:val="center"/>
              <w:rPr>
                <w:rFonts w:hint="eastAsia"/>
                <w:color w:val="000000"/>
                <w:sz w:val="24"/>
                <w:szCs w:val="24"/>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40C1B47E">
            <w:pPr>
              <w:autoSpaceDE w:val="0"/>
              <w:autoSpaceDN w:val="0"/>
              <w:spacing w:line="360" w:lineRule="auto"/>
              <w:jc w:val="center"/>
              <w:rPr>
                <w:rFonts w:hint="eastAsia" w:ascii="宋体" w:hAnsi="宋体"/>
                <w:color w:val="000000"/>
                <w:sz w:val="24"/>
                <w:szCs w:val="24"/>
                <w:lang w:val="zh-CN"/>
              </w:rPr>
            </w:pPr>
            <w:r>
              <w:rPr>
                <w:rFonts w:hint="eastAsia" w:ascii="宋体" w:hAnsi="宋体"/>
                <w:color w:val="000000"/>
                <w:sz w:val="24"/>
                <w:szCs w:val="24"/>
                <w:lang w:val="zh-CN"/>
              </w:rPr>
              <w:t>经营方式</w:t>
            </w:r>
          </w:p>
        </w:tc>
        <w:tc>
          <w:tcPr>
            <w:tcW w:w="2090" w:type="dxa"/>
            <w:tcBorders>
              <w:top w:val="single" w:color="auto" w:sz="6" w:space="0"/>
              <w:left w:val="single" w:color="auto" w:sz="6" w:space="0"/>
              <w:bottom w:val="single" w:color="auto" w:sz="6" w:space="0"/>
              <w:right w:val="single" w:color="auto" w:sz="6" w:space="0"/>
            </w:tcBorders>
            <w:noWrap w:val="0"/>
            <w:vAlign w:val="center"/>
          </w:tcPr>
          <w:p w14:paraId="20D518A0">
            <w:pPr>
              <w:autoSpaceDE w:val="0"/>
              <w:autoSpaceDN w:val="0"/>
              <w:spacing w:line="600" w:lineRule="exact"/>
              <w:jc w:val="center"/>
              <w:rPr>
                <w:rFonts w:eastAsia="Times New Roman"/>
                <w:color w:val="000000"/>
                <w:sz w:val="24"/>
                <w:szCs w:val="24"/>
              </w:rPr>
            </w:pPr>
          </w:p>
        </w:tc>
      </w:tr>
      <w:tr w14:paraId="3DB60431">
        <w:tblPrEx>
          <w:tblCellMar>
            <w:top w:w="0" w:type="dxa"/>
            <w:left w:w="10" w:type="dxa"/>
            <w:bottom w:w="0" w:type="dxa"/>
            <w:right w:w="10" w:type="dxa"/>
          </w:tblCellMar>
        </w:tblPrEx>
        <w:trPr>
          <w:trHeight w:val="621" w:hRule="atLeast"/>
        </w:trPr>
        <w:tc>
          <w:tcPr>
            <w:tcW w:w="1354" w:type="dxa"/>
            <w:tcBorders>
              <w:top w:val="single" w:color="auto" w:sz="6" w:space="0"/>
              <w:left w:val="single" w:color="auto" w:sz="6" w:space="0"/>
              <w:bottom w:val="single" w:color="auto" w:sz="6" w:space="0"/>
              <w:right w:val="single" w:color="auto" w:sz="6" w:space="0"/>
            </w:tcBorders>
            <w:noWrap w:val="0"/>
            <w:vAlign w:val="center"/>
          </w:tcPr>
          <w:p w14:paraId="5761D38A">
            <w:pPr>
              <w:autoSpaceDE w:val="0"/>
              <w:autoSpaceDN w:val="0"/>
              <w:spacing w:line="600" w:lineRule="exact"/>
              <w:jc w:val="center"/>
              <w:rPr>
                <w:rFonts w:hint="eastAsia" w:ascii="宋体" w:hAnsi="宋体"/>
                <w:color w:val="000000"/>
                <w:sz w:val="24"/>
                <w:szCs w:val="24"/>
                <w:lang w:val="zh-CN"/>
              </w:rPr>
            </w:pPr>
            <w:r>
              <w:rPr>
                <w:rFonts w:hint="eastAsia" w:ascii="宋体" w:hAnsi="宋体"/>
                <w:color w:val="000000"/>
                <w:sz w:val="24"/>
                <w:szCs w:val="24"/>
                <w:lang w:val="zh-CN"/>
              </w:rPr>
              <w:t>经办人</w:t>
            </w:r>
          </w:p>
        </w:tc>
        <w:tc>
          <w:tcPr>
            <w:tcW w:w="3373" w:type="dxa"/>
            <w:tcBorders>
              <w:top w:val="single" w:color="auto" w:sz="6" w:space="0"/>
              <w:left w:val="single" w:color="auto" w:sz="6" w:space="0"/>
              <w:bottom w:val="single" w:color="auto" w:sz="6" w:space="0"/>
              <w:right w:val="single" w:color="auto" w:sz="6" w:space="0"/>
            </w:tcBorders>
            <w:noWrap w:val="0"/>
            <w:vAlign w:val="center"/>
          </w:tcPr>
          <w:p w14:paraId="44A7255A">
            <w:pPr>
              <w:autoSpaceDE w:val="0"/>
              <w:autoSpaceDN w:val="0"/>
              <w:spacing w:line="600" w:lineRule="exact"/>
              <w:jc w:val="center"/>
              <w:rPr>
                <w:rFonts w:eastAsia="Times New Roman"/>
                <w:color w:val="000000"/>
                <w:sz w:val="24"/>
                <w:szCs w:val="24"/>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10B47253">
            <w:pPr>
              <w:autoSpaceDE w:val="0"/>
              <w:autoSpaceDN w:val="0"/>
              <w:spacing w:line="600" w:lineRule="exact"/>
              <w:jc w:val="center"/>
              <w:rPr>
                <w:rFonts w:hint="eastAsia" w:ascii="宋体" w:hAnsi="宋体"/>
                <w:color w:val="000000"/>
                <w:sz w:val="24"/>
                <w:szCs w:val="24"/>
                <w:lang w:val="zh-CN"/>
              </w:rPr>
            </w:pPr>
            <w:r>
              <w:rPr>
                <w:rFonts w:hint="eastAsia" w:ascii="宋体" w:hAnsi="宋体"/>
                <w:color w:val="000000"/>
                <w:sz w:val="24"/>
                <w:szCs w:val="24"/>
                <w:lang w:val="zh-CN"/>
              </w:rPr>
              <w:t>联系电话</w:t>
            </w:r>
          </w:p>
        </w:tc>
        <w:tc>
          <w:tcPr>
            <w:tcW w:w="2090" w:type="dxa"/>
            <w:tcBorders>
              <w:top w:val="single" w:color="auto" w:sz="6" w:space="0"/>
              <w:left w:val="single" w:color="auto" w:sz="6" w:space="0"/>
              <w:bottom w:val="single" w:color="auto" w:sz="6" w:space="0"/>
              <w:right w:val="single" w:color="auto" w:sz="6" w:space="0"/>
            </w:tcBorders>
            <w:noWrap w:val="0"/>
            <w:vAlign w:val="center"/>
          </w:tcPr>
          <w:p w14:paraId="5D6CB19B">
            <w:pPr>
              <w:autoSpaceDE w:val="0"/>
              <w:autoSpaceDN w:val="0"/>
              <w:spacing w:line="600" w:lineRule="exact"/>
              <w:jc w:val="center"/>
              <w:rPr>
                <w:rFonts w:hint="eastAsia"/>
                <w:color w:val="000000"/>
                <w:sz w:val="24"/>
                <w:szCs w:val="24"/>
              </w:rPr>
            </w:pPr>
          </w:p>
        </w:tc>
      </w:tr>
      <w:tr w14:paraId="0C2563E9">
        <w:tblPrEx>
          <w:tblCellMar>
            <w:top w:w="0" w:type="dxa"/>
            <w:left w:w="10" w:type="dxa"/>
            <w:bottom w:w="0" w:type="dxa"/>
            <w:right w:w="10" w:type="dxa"/>
          </w:tblCellMar>
        </w:tblPrEx>
        <w:trPr>
          <w:trHeight w:val="621" w:hRule="atLeast"/>
        </w:trPr>
        <w:tc>
          <w:tcPr>
            <w:tcW w:w="1354" w:type="dxa"/>
            <w:tcBorders>
              <w:top w:val="single" w:color="auto" w:sz="6" w:space="0"/>
              <w:left w:val="single" w:color="auto" w:sz="6" w:space="0"/>
              <w:bottom w:val="single" w:color="auto" w:sz="6" w:space="0"/>
              <w:right w:val="single" w:color="auto" w:sz="6" w:space="0"/>
            </w:tcBorders>
            <w:noWrap w:val="0"/>
            <w:vAlign w:val="center"/>
          </w:tcPr>
          <w:p w14:paraId="2F0C420C">
            <w:pPr>
              <w:autoSpaceDE w:val="0"/>
              <w:autoSpaceDN w:val="0"/>
              <w:spacing w:line="600" w:lineRule="exact"/>
              <w:jc w:val="center"/>
              <w:rPr>
                <w:rFonts w:hint="eastAsia" w:ascii="宋体" w:hAnsi="宋体"/>
                <w:color w:val="000000"/>
                <w:sz w:val="24"/>
                <w:szCs w:val="24"/>
                <w:lang w:val="zh-CN"/>
              </w:rPr>
            </w:pPr>
            <w:r>
              <w:rPr>
                <w:rFonts w:hint="eastAsia" w:ascii="宋体" w:hAnsi="宋体"/>
                <w:color w:val="000000"/>
                <w:sz w:val="24"/>
                <w:szCs w:val="24"/>
                <w:lang w:val="zh-CN"/>
              </w:rPr>
              <w:t>经营范围</w:t>
            </w:r>
          </w:p>
        </w:tc>
        <w:tc>
          <w:tcPr>
            <w:tcW w:w="7447" w:type="dxa"/>
            <w:gridSpan w:val="3"/>
            <w:tcBorders>
              <w:top w:val="single" w:color="auto" w:sz="6" w:space="0"/>
              <w:left w:val="single" w:color="auto" w:sz="6" w:space="0"/>
              <w:bottom w:val="single" w:color="auto" w:sz="6" w:space="0"/>
              <w:right w:val="single" w:color="auto" w:sz="6" w:space="0"/>
            </w:tcBorders>
            <w:noWrap w:val="0"/>
            <w:vAlign w:val="center"/>
          </w:tcPr>
          <w:p w14:paraId="34E62340">
            <w:pPr>
              <w:autoSpaceDE w:val="0"/>
              <w:autoSpaceDN w:val="0"/>
              <w:spacing w:line="600" w:lineRule="exact"/>
              <w:jc w:val="center"/>
              <w:rPr>
                <w:rFonts w:hint="eastAsia"/>
                <w:color w:val="000000"/>
                <w:sz w:val="24"/>
                <w:szCs w:val="24"/>
              </w:rPr>
            </w:pPr>
          </w:p>
        </w:tc>
      </w:tr>
      <w:tr w14:paraId="3F0867E2">
        <w:tblPrEx>
          <w:tblCellMar>
            <w:top w:w="0" w:type="dxa"/>
            <w:left w:w="10" w:type="dxa"/>
            <w:bottom w:w="0" w:type="dxa"/>
            <w:right w:w="10" w:type="dxa"/>
          </w:tblCellMar>
        </w:tblPrEx>
        <w:trPr>
          <w:trHeight w:val="4458"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3CB0C8DC">
            <w:pPr>
              <w:autoSpaceDE w:val="0"/>
              <w:autoSpaceDN w:val="0"/>
              <w:spacing w:line="400" w:lineRule="exact"/>
              <w:jc w:val="center"/>
              <w:rPr>
                <w:rFonts w:hint="eastAsia"/>
                <w:color w:val="000000"/>
                <w:sz w:val="24"/>
                <w:szCs w:val="24"/>
              </w:rPr>
            </w:pPr>
            <w:r>
              <w:rPr>
                <w:rFonts w:hint="eastAsia"/>
                <w:color w:val="000000"/>
                <w:sz w:val="24"/>
                <w:szCs w:val="24"/>
              </w:rPr>
              <w:t>基本情况</w:t>
            </w:r>
          </w:p>
        </w:tc>
        <w:tc>
          <w:tcPr>
            <w:tcW w:w="7447" w:type="dxa"/>
            <w:gridSpan w:val="3"/>
            <w:tcBorders>
              <w:top w:val="single" w:color="auto" w:sz="6" w:space="0"/>
              <w:left w:val="single" w:color="auto" w:sz="4" w:space="0"/>
              <w:bottom w:val="single" w:color="auto" w:sz="6" w:space="0"/>
              <w:right w:val="single" w:color="auto" w:sz="6" w:space="0"/>
            </w:tcBorders>
            <w:noWrap w:val="0"/>
            <w:vAlign w:val="top"/>
          </w:tcPr>
          <w:p w14:paraId="4CD2DFD6">
            <w:pPr>
              <w:autoSpaceDE w:val="0"/>
              <w:autoSpaceDN w:val="0"/>
              <w:spacing w:line="400" w:lineRule="exact"/>
              <w:rPr>
                <w:rFonts w:hint="eastAsia"/>
                <w:color w:val="000000"/>
                <w:sz w:val="24"/>
                <w:szCs w:val="24"/>
              </w:rPr>
            </w:pPr>
            <w:r>
              <w:rPr>
                <w:rFonts w:hint="eastAsia"/>
                <w:color w:val="000000"/>
                <w:sz w:val="24"/>
                <w:szCs w:val="24"/>
              </w:rPr>
              <w:t>配备双通道管理药品情况：</w:t>
            </w:r>
          </w:p>
          <w:p w14:paraId="04A7297F">
            <w:pPr>
              <w:autoSpaceDE w:val="0"/>
              <w:autoSpaceDN w:val="0"/>
              <w:spacing w:line="400" w:lineRule="exact"/>
              <w:rPr>
                <w:rFonts w:hint="eastAsia"/>
                <w:color w:val="000000"/>
                <w:sz w:val="24"/>
                <w:szCs w:val="24"/>
              </w:rPr>
            </w:pPr>
          </w:p>
          <w:p w14:paraId="6FDBF4ED">
            <w:pPr>
              <w:autoSpaceDE w:val="0"/>
              <w:autoSpaceDN w:val="0"/>
              <w:spacing w:line="400" w:lineRule="exact"/>
              <w:rPr>
                <w:rFonts w:hint="eastAsia"/>
                <w:color w:val="000000"/>
                <w:sz w:val="24"/>
                <w:szCs w:val="24"/>
              </w:rPr>
            </w:pPr>
          </w:p>
          <w:p w14:paraId="564DC7BA">
            <w:pPr>
              <w:autoSpaceDE w:val="0"/>
              <w:autoSpaceDN w:val="0"/>
              <w:spacing w:line="400" w:lineRule="exact"/>
              <w:rPr>
                <w:rFonts w:hint="eastAsia"/>
                <w:color w:val="000000"/>
                <w:sz w:val="24"/>
                <w:szCs w:val="24"/>
              </w:rPr>
            </w:pPr>
          </w:p>
          <w:p w14:paraId="6CC1B491">
            <w:pPr>
              <w:autoSpaceDE w:val="0"/>
              <w:autoSpaceDN w:val="0"/>
              <w:spacing w:line="400" w:lineRule="exact"/>
              <w:rPr>
                <w:rFonts w:hint="eastAsia"/>
                <w:color w:val="000000"/>
                <w:sz w:val="24"/>
                <w:szCs w:val="24"/>
              </w:rPr>
            </w:pPr>
            <w:r>
              <w:rPr>
                <w:rFonts w:hint="eastAsia"/>
                <w:color w:val="000000"/>
                <w:sz w:val="24"/>
                <w:szCs w:val="24"/>
              </w:rPr>
              <w:t>其他：</w:t>
            </w:r>
          </w:p>
          <w:p w14:paraId="08F0F9B2">
            <w:pPr>
              <w:autoSpaceDE w:val="0"/>
              <w:autoSpaceDN w:val="0"/>
              <w:spacing w:line="400" w:lineRule="exact"/>
              <w:rPr>
                <w:rFonts w:hint="eastAsia"/>
                <w:color w:val="000000"/>
                <w:sz w:val="24"/>
                <w:szCs w:val="24"/>
              </w:rPr>
            </w:pPr>
            <w:r>
              <w:rPr>
                <w:rFonts w:hint="eastAsia"/>
                <w:color w:val="000000"/>
                <w:sz w:val="24"/>
                <w:szCs w:val="24"/>
              </w:rPr>
              <w:t>（设施设备、执业药师配备、配药和结算管理流程等）</w:t>
            </w:r>
          </w:p>
          <w:p w14:paraId="7C7B7505">
            <w:pPr>
              <w:autoSpaceDE w:val="0"/>
              <w:autoSpaceDN w:val="0"/>
              <w:spacing w:line="400" w:lineRule="exact"/>
              <w:rPr>
                <w:rFonts w:hint="eastAsia"/>
                <w:color w:val="000000"/>
                <w:sz w:val="24"/>
                <w:szCs w:val="24"/>
              </w:rPr>
            </w:pPr>
          </w:p>
          <w:p w14:paraId="36BBA08B">
            <w:pPr>
              <w:keepNext w:val="0"/>
              <w:keepLines w:val="0"/>
              <w:pageBreakBefore w:val="0"/>
              <w:widowControl w:val="0"/>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w:t>
            </w:r>
            <w:r>
              <w:rPr>
                <w:rFonts w:hint="eastAsia" w:ascii="Times New Roman" w:hAnsi="Times New Roman" w:eastAsia="宋体" w:cs="Times New Roman"/>
                <w:color w:val="000000"/>
                <w:sz w:val="24"/>
                <w:szCs w:val="24"/>
                <w:lang w:eastAsia="zh-CN"/>
              </w:rPr>
              <w:t>单位</w:t>
            </w:r>
            <w:r>
              <w:rPr>
                <w:rFonts w:hint="eastAsia" w:ascii="Times New Roman" w:hAnsi="Times New Roman" w:eastAsia="宋体" w:cs="Times New Roman"/>
                <w:color w:val="000000"/>
                <w:sz w:val="24"/>
                <w:szCs w:val="24"/>
              </w:rPr>
              <w:t>自愿申请</w:t>
            </w:r>
            <w:r>
              <w:rPr>
                <w:rFonts w:hint="eastAsia" w:ascii="Times New Roman" w:hAnsi="Times New Roman" w:eastAsia="宋体" w:cs="Times New Roman"/>
                <w:color w:val="000000"/>
                <w:sz w:val="24"/>
                <w:szCs w:val="24"/>
                <w:lang w:eastAsia="zh-CN"/>
              </w:rPr>
              <w:t>纳入“双通道”管理</w:t>
            </w:r>
            <w:r>
              <w:rPr>
                <w:rFonts w:hint="eastAsia" w:ascii="Times New Roman" w:hAnsi="Times New Roman" w:eastAsia="宋体" w:cs="Times New Roman"/>
                <w:color w:val="000000"/>
                <w:sz w:val="24"/>
                <w:szCs w:val="24"/>
              </w:rPr>
              <w:t>，保证本申请表及申请材料真实、准确</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完整，并承诺</w:t>
            </w:r>
            <w:r>
              <w:rPr>
                <w:rFonts w:hint="eastAsia" w:ascii="Times New Roman" w:hAnsi="Times New Roman" w:eastAsia="宋体" w:cs="Times New Roman"/>
                <w:color w:val="000000"/>
                <w:sz w:val="24"/>
                <w:szCs w:val="24"/>
                <w:lang w:eastAsia="zh-CN"/>
              </w:rPr>
              <w:t>本单位近三年内不存在因违法违规、违反协议等被医疗保障部门暂停医保协议的情况，</w:t>
            </w:r>
            <w:r>
              <w:rPr>
                <w:rFonts w:hint="eastAsia" w:ascii="Times New Roman" w:hAnsi="Times New Roman" w:eastAsia="宋体" w:cs="Times New Roman"/>
                <w:color w:val="000000"/>
                <w:sz w:val="24"/>
                <w:szCs w:val="24"/>
              </w:rPr>
              <w:t>如提供虚假不实资料，本单位自愿</w:t>
            </w:r>
            <w:r>
              <w:rPr>
                <w:rFonts w:hint="eastAsia" w:ascii="Times New Roman" w:hAnsi="Times New Roman" w:eastAsia="宋体" w:cs="Times New Roman"/>
                <w:color w:val="000000"/>
                <w:sz w:val="24"/>
                <w:szCs w:val="24"/>
                <w:lang w:eastAsia="zh-CN"/>
              </w:rPr>
              <w:t>退出并</w:t>
            </w:r>
            <w:r>
              <w:rPr>
                <w:rFonts w:hint="eastAsia" w:ascii="Times New Roman" w:hAnsi="Times New Roman" w:eastAsia="宋体" w:cs="Times New Roman"/>
                <w:color w:val="000000"/>
                <w:sz w:val="24"/>
                <w:szCs w:val="24"/>
              </w:rPr>
              <w:t>承担相应责任。</w:t>
            </w:r>
          </w:p>
          <w:p w14:paraId="4855B5DD">
            <w:pPr>
              <w:keepNext w:val="0"/>
              <w:keepLines w:val="0"/>
              <w:pageBreakBefore w:val="0"/>
              <w:widowControl w:val="0"/>
              <w:kinsoku/>
              <w:wordWrap/>
              <w:overflowPunct/>
              <w:topLinePunct w:val="0"/>
              <w:autoSpaceDE/>
              <w:autoSpaceDN/>
              <w:bidi w:val="0"/>
              <w:adjustRightInd/>
              <w:snapToGrid/>
              <w:spacing w:line="0" w:lineRule="atLeast"/>
              <w:ind w:right="0" w:rightChars="0" w:firstLine="480" w:firstLineChars="200"/>
              <w:jc w:val="left"/>
              <w:textAlignment w:val="auto"/>
              <w:outlineLvl w:val="9"/>
              <w:rPr>
                <w:rFonts w:hint="eastAsia" w:ascii="Times New Roman" w:hAnsi="Times New Roman" w:eastAsia="宋体" w:cs="Times New Roman"/>
                <w:color w:val="000000"/>
                <w:sz w:val="24"/>
                <w:szCs w:val="24"/>
              </w:rPr>
            </w:pPr>
          </w:p>
          <w:p w14:paraId="6C48175D">
            <w:pPr>
              <w:autoSpaceDE w:val="0"/>
              <w:autoSpaceDN w:val="0"/>
              <w:spacing w:line="400" w:lineRule="exact"/>
              <w:ind w:firstLine="1800" w:firstLineChars="750"/>
              <w:rPr>
                <w:rFonts w:eastAsia="Times New Roman"/>
                <w:color w:val="000000"/>
                <w:sz w:val="24"/>
                <w:szCs w:val="24"/>
              </w:rPr>
            </w:pPr>
            <w:r>
              <w:rPr>
                <w:rFonts w:hint="eastAsia" w:ascii="宋体" w:hAnsi="宋体"/>
                <w:color w:val="000000"/>
                <w:sz w:val="24"/>
                <w:szCs w:val="24"/>
                <w:lang w:val="zh-CN"/>
              </w:rPr>
              <w:t xml:space="preserve">申请单位：  </w:t>
            </w:r>
            <w:r>
              <w:rPr>
                <w:rFonts w:eastAsia="Times New Roman"/>
                <w:color w:val="000000"/>
                <w:sz w:val="24"/>
                <w:szCs w:val="24"/>
              </w:rPr>
              <w:t xml:space="preserve">     </w:t>
            </w:r>
            <w:r>
              <w:rPr>
                <w:rFonts w:hint="eastAsia"/>
                <w:color w:val="000000"/>
                <w:sz w:val="24"/>
                <w:szCs w:val="24"/>
              </w:rPr>
              <w:t>（签章）</w:t>
            </w:r>
            <w:r>
              <w:rPr>
                <w:color w:val="000000"/>
                <w:sz w:val="24"/>
                <w:szCs w:val="24"/>
              </w:rPr>
              <w:t xml:space="preserve">  </w:t>
            </w:r>
            <w:r>
              <w:rPr>
                <w:rFonts w:hint="eastAsia"/>
                <w:color w:val="000000"/>
                <w:sz w:val="24"/>
                <w:szCs w:val="24"/>
              </w:rPr>
              <w:t xml:space="preserve">              </w:t>
            </w:r>
          </w:p>
          <w:p w14:paraId="62A9A5E6">
            <w:pPr>
              <w:autoSpaceDE w:val="0"/>
              <w:autoSpaceDN w:val="0"/>
              <w:spacing w:line="400" w:lineRule="exact"/>
              <w:rPr>
                <w:rFonts w:hint="eastAsia"/>
                <w:color w:val="000000"/>
                <w:sz w:val="24"/>
                <w:szCs w:val="24"/>
              </w:rPr>
            </w:pPr>
            <w:r>
              <w:rPr>
                <w:rFonts w:eastAsia="Times New Roman"/>
                <w:color w:val="000000"/>
                <w:sz w:val="24"/>
                <w:szCs w:val="24"/>
              </w:rPr>
              <w:t xml:space="preserve">       </w:t>
            </w:r>
            <w:r>
              <w:rPr>
                <w:rFonts w:hint="eastAsia"/>
                <w:color w:val="000000"/>
                <w:sz w:val="24"/>
                <w:szCs w:val="24"/>
              </w:rPr>
              <w:t xml:space="preserve">          </w:t>
            </w:r>
            <w:r>
              <w:rPr>
                <w:rFonts w:eastAsia="Times New Roman"/>
                <w:color w:val="000000"/>
                <w:sz w:val="24"/>
                <w:szCs w:val="24"/>
              </w:rPr>
              <w:t xml:space="preserve">       </w:t>
            </w:r>
            <w:r>
              <w:rPr>
                <w:rFonts w:hint="eastAsia"/>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r>
              <w:rPr>
                <w:rFonts w:eastAsia="Times New Roman"/>
                <w:color w:val="000000"/>
                <w:sz w:val="24"/>
                <w:szCs w:val="24"/>
              </w:rPr>
              <w:t xml:space="preserve">  </w:t>
            </w:r>
            <w:r>
              <w:rPr>
                <w:rFonts w:hint="eastAsia"/>
                <w:color w:val="000000"/>
                <w:sz w:val="24"/>
                <w:szCs w:val="24"/>
              </w:rPr>
              <w:t xml:space="preserve">                 </w:t>
            </w:r>
          </w:p>
        </w:tc>
      </w:tr>
      <w:tr w14:paraId="61007F17">
        <w:tblPrEx>
          <w:tblCellMar>
            <w:top w:w="0" w:type="dxa"/>
            <w:left w:w="10" w:type="dxa"/>
            <w:bottom w:w="0" w:type="dxa"/>
            <w:right w:w="10" w:type="dxa"/>
          </w:tblCellMar>
        </w:tblPrEx>
        <w:trPr>
          <w:trHeight w:val="1527"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7CA151F4">
            <w:pPr>
              <w:autoSpaceDE w:val="0"/>
              <w:autoSpaceDN w:val="0"/>
              <w:spacing w:line="400" w:lineRule="exact"/>
              <w:jc w:val="center"/>
              <w:rPr>
                <w:rFonts w:eastAsia="Times New Roman"/>
                <w:color w:val="000000"/>
                <w:sz w:val="24"/>
                <w:szCs w:val="24"/>
              </w:rPr>
            </w:pPr>
            <w:r>
              <w:rPr>
                <w:rFonts w:hint="eastAsia" w:ascii="宋体" w:hAnsi="宋体"/>
                <w:bCs/>
                <w:color w:val="000000"/>
                <w:sz w:val="24"/>
                <w:szCs w:val="24"/>
                <w:lang w:val="zh-CN"/>
              </w:rPr>
              <w:t>附属材料清单</w:t>
            </w:r>
          </w:p>
        </w:tc>
        <w:tc>
          <w:tcPr>
            <w:tcW w:w="7447" w:type="dxa"/>
            <w:gridSpan w:val="3"/>
            <w:tcBorders>
              <w:top w:val="single" w:color="auto" w:sz="6" w:space="0"/>
              <w:left w:val="single" w:color="auto" w:sz="4" w:space="0"/>
              <w:bottom w:val="single" w:color="auto" w:sz="4" w:space="0"/>
              <w:right w:val="single" w:color="auto" w:sz="6" w:space="0"/>
            </w:tcBorders>
            <w:noWrap w:val="0"/>
            <w:vAlign w:val="top"/>
          </w:tcPr>
          <w:p w14:paraId="613679FD">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tLeas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药品经营许可证复印件</w:t>
            </w:r>
            <w:r>
              <w:rPr>
                <w:rFonts w:hint="eastAsia" w:asciiTheme="minorEastAsia" w:hAnsiTheme="minorEastAsia" w:eastAsiaTheme="minorEastAsia" w:cstheme="minorEastAsia"/>
                <w:color w:val="000000"/>
                <w:sz w:val="24"/>
                <w:szCs w:val="24"/>
                <w:lang w:val="en-US" w:eastAsia="zh-CN"/>
              </w:rPr>
              <w:t>;</w:t>
            </w:r>
          </w:p>
          <w:p w14:paraId="37BFDB6C">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tLeas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双通道管理医保药师信息表</w:t>
            </w:r>
            <w:r>
              <w:rPr>
                <w:rFonts w:hint="eastAsia" w:asciiTheme="minorEastAsia" w:hAnsiTheme="minorEastAsia" w:eastAsiaTheme="minorEastAsia" w:cstheme="minorEastAsia"/>
                <w:color w:val="000000"/>
                <w:sz w:val="24"/>
                <w:szCs w:val="24"/>
                <w:lang w:eastAsia="zh-CN"/>
              </w:rPr>
              <w:t>及执业药师注册证复印件</w:t>
            </w:r>
            <w:r>
              <w:rPr>
                <w:rFonts w:hint="eastAsia" w:asciiTheme="minorEastAsia" w:hAnsiTheme="minorEastAsia" w:eastAsiaTheme="minorEastAsia" w:cstheme="minorEastAsia"/>
                <w:color w:val="000000"/>
                <w:sz w:val="24"/>
                <w:szCs w:val="24"/>
                <w:lang w:val="en-US" w:eastAsia="zh-CN"/>
              </w:rPr>
              <w:t>;</w:t>
            </w:r>
          </w:p>
          <w:p w14:paraId="579A7EA9">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tLeas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配备双通道管理药品信息表</w:t>
            </w:r>
            <w:r>
              <w:rPr>
                <w:rFonts w:hint="eastAsia" w:asciiTheme="minorEastAsia" w:hAnsiTheme="minorEastAsia" w:eastAsiaTheme="minorEastAsia" w:cstheme="minorEastAsia"/>
                <w:color w:val="000000"/>
                <w:sz w:val="24"/>
                <w:szCs w:val="24"/>
                <w:lang w:val="en-US" w:eastAsia="zh-CN"/>
              </w:rPr>
              <w:t>;</w:t>
            </w:r>
          </w:p>
          <w:p w14:paraId="39C0B731">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atLeas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具备药品电子追溯条件和冷链服务管理能力的</w:t>
            </w:r>
            <w:r>
              <w:rPr>
                <w:rFonts w:hint="eastAsia" w:asciiTheme="minorEastAsia" w:hAnsiTheme="minorEastAsia" w:eastAsiaTheme="minorEastAsia" w:cstheme="minorEastAsia"/>
                <w:color w:val="000000"/>
                <w:sz w:val="24"/>
                <w:szCs w:val="24"/>
                <w:lang w:eastAsia="zh-CN"/>
              </w:rPr>
              <w:t>佐证材料</w:t>
            </w:r>
            <w:r>
              <w:rPr>
                <w:rFonts w:hint="eastAsia" w:asciiTheme="minorEastAsia" w:hAnsiTheme="minorEastAsia" w:eastAsiaTheme="minorEastAsia" w:cstheme="minorEastAsia"/>
                <w:color w:val="000000"/>
                <w:sz w:val="24"/>
                <w:szCs w:val="24"/>
              </w:rPr>
              <w:t>和设备清单</w:t>
            </w:r>
            <w:r>
              <w:rPr>
                <w:rFonts w:hint="eastAsia" w:asciiTheme="minorEastAsia" w:hAnsiTheme="minorEastAsia" w:eastAsiaTheme="minorEastAsia" w:cstheme="minorEastAsia"/>
                <w:color w:val="000000"/>
                <w:sz w:val="24"/>
                <w:szCs w:val="24"/>
                <w:lang w:val="en-US" w:eastAsia="zh-CN"/>
              </w:rPr>
              <w:t>;</w:t>
            </w:r>
          </w:p>
          <w:p w14:paraId="58AE2C08">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eastAsia="宋体"/>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双通道管理药品供应合作协议</w:t>
            </w:r>
            <w:r>
              <w:rPr>
                <w:rFonts w:hint="eastAsia" w:asciiTheme="minorEastAsia" w:hAnsiTheme="minorEastAsia" w:eastAsiaTheme="minorEastAsia" w:cstheme="minorEastAsia"/>
                <w:color w:val="000000"/>
                <w:sz w:val="24"/>
                <w:szCs w:val="24"/>
                <w:lang w:eastAsia="zh-CN"/>
              </w:rPr>
              <w:t>。</w:t>
            </w:r>
            <w:r>
              <w:rPr>
                <w:rFonts w:eastAsia="Times New Roman"/>
                <w:color w:val="000000"/>
                <w:sz w:val="24"/>
                <w:szCs w:val="24"/>
              </w:rPr>
              <w:t xml:space="preserve">    </w:t>
            </w:r>
            <w:r>
              <w:rPr>
                <w:rFonts w:hint="eastAsia" w:eastAsia="宋体"/>
                <w:color w:val="000000"/>
                <w:sz w:val="24"/>
                <w:szCs w:val="24"/>
                <w:lang w:val="en-US" w:eastAsia="zh-CN"/>
              </w:rPr>
              <w:t>.</w:t>
            </w:r>
          </w:p>
        </w:tc>
      </w:tr>
      <w:tr w14:paraId="7E696054">
        <w:tblPrEx>
          <w:tblCellMar>
            <w:top w:w="0" w:type="dxa"/>
            <w:left w:w="10" w:type="dxa"/>
            <w:bottom w:w="0" w:type="dxa"/>
            <w:right w:w="10" w:type="dxa"/>
          </w:tblCellMar>
        </w:tblPrEx>
        <w:trPr>
          <w:trHeight w:val="728" w:hRule="atLeast"/>
        </w:trPr>
        <w:tc>
          <w:tcPr>
            <w:tcW w:w="1354" w:type="dxa"/>
            <w:tcBorders>
              <w:top w:val="single" w:color="auto" w:sz="4" w:space="0"/>
              <w:left w:val="single" w:color="auto" w:sz="4" w:space="0"/>
              <w:bottom w:val="single" w:color="auto" w:sz="4" w:space="0"/>
              <w:right w:val="single" w:color="auto" w:sz="4" w:space="0"/>
            </w:tcBorders>
            <w:noWrap w:val="0"/>
            <w:vAlign w:val="top"/>
          </w:tcPr>
          <w:p w14:paraId="783D8DE9">
            <w:pPr>
              <w:autoSpaceDE w:val="0"/>
              <w:autoSpaceDN w:val="0"/>
              <w:spacing w:line="400" w:lineRule="exact"/>
              <w:rPr>
                <w:rFonts w:hint="eastAsia"/>
                <w:color w:val="000000"/>
                <w:sz w:val="24"/>
                <w:szCs w:val="24"/>
              </w:rPr>
            </w:pPr>
            <w:r>
              <w:rPr>
                <w:rFonts w:hint="eastAsia"/>
                <w:color w:val="000000"/>
                <w:sz w:val="24"/>
                <w:szCs w:val="24"/>
              </w:rPr>
              <w:t>医保</w:t>
            </w:r>
            <w:r>
              <w:rPr>
                <w:rFonts w:hint="eastAsia" w:ascii="宋体" w:hAnsi="宋体"/>
                <w:bCs/>
                <w:color w:val="000000"/>
                <w:sz w:val="24"/>
                <w:szCs w:val="24"/>
                <w:lang w:val="zh-CN"/>
              </w:rPr>
              <w:t>经办</w:t>
            </w:r>
            <w:r>
              <w:rPr>
                <w:rFonts w:hint="eastAsia"/>
                <w:color w:val="000000"/>
                <w:sz w:val="24"/>
                <w:szCs w:val="24"/>
              </w:rPr>
              <w:t>机构意见</w:t>
            </w:r>
          </w:p>
        </w:tc>
        <w:tc>
          <w:tcPr>
            <w:tcW w:w="7447" w:type="dxa"/>
            <w:gridSpan w:val="3"/>
            <w:tcBorders>
              <w:top w:val="single" w:color="auto" w:sz="4" w:space="0"/>
              <w:left w:val="single" w:color="auto" w:sz="4" w:space="0"/>
              <w:bottom w:val="single" w:color="auto" w:sz="4" w:space="0"/>
              <w:right w:val="single" w:color="auto" w:sz="4" w:space="0"/>
            </w:tcBorders>
            <w:noWrap w:val="0"/>
            <w:vAlign w:val="top"/>
          </w:tcPr>
          <w:p w14:paraId="2F19B7DC">
            <w:pPr>
              <w:autoSpaceDE w:val="0"/>
              <w:autoSpaceDN w:val="0"/>
              <w:rPr>
                <w:rFonts w:hint="eastAsia"/>
                <w:color w:val="000000"/>
                <w:sz w:val="24"/>
                <w:szCs w:val="24"/>
              </w:rPr>
            </w:pPr>
            <w:r>
              <w:rPr>
                <w:rFonts w:hint="eastAsia"/>
                <w:color w:val="000000"/>
                <w:sz w:val="24"/>
                <w:szCs w:val="24"/>
              </w:rPr>
              <w:t xml:space="preserve">  </w:t>
            </w:r>
          </w:p>
        </w:tc>
      </w:tr>
      <w:tr w14:paraId="20ACF27E">
        <w:tblPrEx>
          <w:tblCellMar>
            <w:top w:w="0" w:type="dxa"/>
            <w:left w:w="10" w:type="dxa"/>
            <w:bottom w:w="0" w:type="dxa"/>
            <w:right w:w="10" w:type="dxa"/>
          </w:tblCellMar>
        </w:tblPrEx>
        <w:trPr>
          <w:trHeight w:val="819"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5AB68C68">
            <w:pPr>
              <w:autoSpaceDE w:val="0"/>
              <w:autoSpaceDN w:val="0"/>
              <w:spacing w:line="320" w:lineRule="exact"/>
              <w:jc w:val="center"/>
              <w:rPr>
                <w:rFonts w:eastAsia="Times New Roman"/>
                <w:color w:val="000000"/>
                <w:sz w:val="24"/>
                <w:szCs w:val="24"/>
              </w:rPr>
            </w:pPr>
            <w:r>
              <w:rPr>
                <w:rFonts w:hint="eastAsia" w:ascii="宋体" w:hAnsi="宋体"/>
                <w:color w:val="000000"/>
                <w:sz w:val="24"/>
                <w:szCs w:val="24"/>
                <w:lang w:val="zh-CN"/>
              </w:rPr>
              <w:t>备</w:t>
            </w:r>
            <w:r>
              <w:rPr>
                <w:rFonts w:eastAsia="Times New Roman"/>
                <w:color w:val="000000"/>
                <w:sz w:val="24"/>
                <w:szCs w:val="24"/>
              </w:rPr>
              <w:t xml:space="preserve">  </w:t>
            </w:r>
            <w:r>
              <w:rPr>
                <w:rFonts w:hint="eastAsia" w:ascii="宋体" w:hAnsi="宋体"/>
                <w:color w:val="000000"/>
                <w:sz w:val="24"/>
                <w:szCs w:val="24"/>
                <w:lang w:val="zh-CN"/>
              </w:rPr>
              <w:t>注</w:t>
            </w:r>
          </w:p>
        </w:tc>
        <w:tc>
          <w:tcPr>
            <w:tcW w:w="7447" w:type="dxa"/>
            <w:gridSpan w:val="3"/>
            <w:tcBorders>
              <w:top w:val="single" w:color="auto" w:sz="4" w:space="0"/>
              <w:left w:val="single" w:color="auto" w:sz="4" w:space="0"/>
              <w:bottom w:val="single" w:color="auto" w:sz="4" w:space="0"/>
              <w:right w:val="single" w:color="auto" w:sz="4" w:space="0"/>
            </w:tcBorders>
            <w:noWrap w:val="0"/>
            <w:vAlign w:val="top"/>
          </w:tcPr>
          <w:p w14:paraId="1D2A3E2B">
            <w:pPr>
              <w:autoSpaceDE w:val="0"/>
              <w:autoSpaceDN w:val="0"/>
              <w:spacing w:line="440" w:lineRule="exact"/>
              <w:ind w:firstLine="7200" w:firstLineChars="3000"/>
              <w:rPr>
                <w:rFonts w:eastAsia="Times New Roman"/>
                <w:color w:val="000000"/>
                <w:sz w:val="24"/>
                <w:szCs w:val="24"/>
              </w:rPr>
            </w:pPr>
          </w:p>
        </w:tc>
      </w:tr>
    </w:tbl>
    <w:p w14:paraId="7E9732BD">
      <w:pPr>
        <w:autoSpaceDE w:val="0"/>
        <w:autoSpaceDN w:val="0"/>
        <w:spacing w:line="700" w:lineRule="exact"/>
        <w:jc w:val="center"/>
        <w:rPr>
          <w:rFonts w:hint="eastAsia" w:ascii="方正小标宋简体" w:hAnsi="方正小标宋简体" w:eastAsia="方正小标宋简体" w:cs="方正小标宋简体"/>
          <w:b w:val="0"/>
          <w:bCs/>
          <w:color w:val="000000"/>
          <w:sz w:val="44"/>
          <w:szCs w:val="44"/>
          <w:lang w:val="zh-CN"/>
        </w:rPr>
      </w:pPr>
      <w:r>
        <w:rPr>
          <w:rFonts w:hint="eastAsia" w:ascii="方正小标宋简体" w:hAnsi="方正小标宋简体" w:eastAsia="方正小标宋简体" w:cs="方正小标宋简体"/>
          <w:b w:val="0"/>
          <w:bCs/>
          <w:color w:val="000000"/>
          <w:sz w:val="44"/>
          <w:szCs w:val="44"/>
          <w:lang w:val="zh-CN"/>
        </w:rPr>
        <w:t>宁夏基本医保双通道管理定点零售药店申请表</w:t>
      </w:r>
    </w:p>
    <w:p w14:paraId="0CAFF311">
      <w:pPr>
        <w:widowControl/>
        <w:jc w:val="left"/>
        <w:rPr>
          <w:rFonts w:hint="eastAsia" w:ascii="宋体" w:hAnsi="宋体" w:cs="宋体"/>
          <w:color w:val="000000"/>
          <w:kern w:val="0"/>
          <w:szCs w:val="21"/>
        </w:rPr>
      </w:pPr>
      <w:r>
        <w:rPr>
          <w:rFonts w:hint="eastAsia" w:ascii="宋体" w:hAnsi="宋体"/>
          <w:color w:val="000000"/>
          <w:szCs w:val="21"/>
        </w:rPr>
        <w:t>填表说明：1.</w:t>
      </w:r>
      <w:r>
        <w:rPr>
          <w:rFonts w:hint="eastAsia" w:ascii="宋体" w:hAnsi="宋体" w:cs="宋体"/>
          <w:color w:val="000000"/>
          <w:kern w:val="0"/>
          <w:szCs w:val="21"/>
        </w:rPr>
        <w:t>如本表设置栏目不能满足填报需求，可增加附表形式填报；</w:t>
      </w:r>
    </w:p>
    <w:p w14:paraId="55F53230">
      <w:pPr>
        <w:widowControl/>
        <w:jc w:val="left"/>
        <w:rPr>
          <w:rFonts w:hint="eastAsia" w:ascii="宋体" w:hAnsi="宋体" w:cs="宋体"/>
          <w:color w:val="000000"/>
          <w:kern w:val="0"/>
          <w:szCs w:val="21"/>
          <w:lang w:val="zh-CN"/>
        </w:rPr>
      </w:pPr>
      <w:r>
        <w:rPr>
          <w:rFonts w:hint="eastAsia" w:ascii="宋体" w:hAnsi="宋体" w:cs="宋体"/>
          <w:b/>
          <w:bCs/>
          <w:color w:val="000000"/>
          <w:kern w:val="0"/>
          <w:szCs w:val="21"/>
        </w:rPr>
        <w:t xml:space="preserve">          </w:t>
      </w:r>
      <w:r>
        <w:rPr>
          <w:rFonts w:hint="eastAsia" w:ascii="宋体" w:hAnsi="宋体" w:cs="宋体"/>
          <w:color w:val="000000"/>
          <w:kern w:val="0"/>
          <w:szCs w:val="21"/>
        </w:rPr>
        <w:t>2.零售药店、医保药师和药品代码按国家医保业务标准编码填写。</w:t>
      </w:r>
      <w:r>
        <w:rPr>
          <w:rFonts w:hint="eastAsia" w:ascii="宋体" w:hAnsi="宋体" w:cs="宋体"/>
          <w:color w:val="000000"/>
          <w:kern w:val="0"/>
          <w:szCs w:val="21"/>
          <w:lang w:eastAsia="zh-CN"/>
        </w:rPr>
        <w:t>所有申报材料均需加盖申请单位公章</w:t>
      </w:r>
      <w:r>
        <w:rPr>
          <w:rFonts w:hint="eastAsia" w:ascii="宋体" w:hAnsi="宋体" w:cs="宋体"/>
          <w:color w:val="000000"/>
          <w:kern w:val="0"/>
          <w:szCs w:val="21"/>
        </w:rPr>
        <w:t>。</w:t>
      </w:r>
    </w:p>
    <w:p w14:paraId="49C9482D">
      <w:pPr>
        <w:autoSpaceDE w:val="0"/>
        <w:autoSpaceDN w:val="0"/>
        <w:spacing w:line="700" w:lineRule="exact"/>
        <w:jc w:val="center"/>
        <w:rPr>
          <w:rFonts w:hint="eastAsia" w:ascii="方正小标宋简体" w:hAnsi="方正小标宋简体" w:eastAsia="方正小标宋简体" w:cs="方正小标宋简体"/>
          <w:b w:val="0"/>
          <w:bCs/>
          <w:color w:val="000000"/>
          <w:sz w:val="44"/>
          <w:szCs w:val="44"/>
          <w:lang w:val="zh-CN"/>
        </w:rPr>
      </w:pPr>
    </w:p>
    <w:p w14:paraId="6938BB2E">
      <w:pPr>
        <w:autoSpaceDE w:val="0"/>
        <w:autoSpaceDN w:val="0"/>
        <w:spacing w:line="700" w:lineRule="exact"/>
        <w:jc w:val="center"/>
        <w:rPr>
          <w:rFonts w:hint="eastAsia" w:ascii="方正小标宋简体" w:hAnsi="方正小标宋简体" w:eastAsia="方正小标宋简体" w:cs="方正小标宋简体"/>
          <w:b w:val="0"/>
          <w:bCs/>
          <w:color w:val="000000"/>
          <w:sz w:val="44"/>
          <w:szCs w:val="44"/>
          <w:lang w:val="zh-CN"/>
        </w:rPr>
      </w:pPr>
      <w:r>
        <w:rPr>
          <w:rFonts w:hint="eastAsia" w:ascii="方正小标宋简体" w:hAnsi="方正小标宋简体" w:eastAsia="方正小标宋简体" w:cs="方正小标宋简体"/>
          <w:b w:val="0"/>
          <w:bCs/>
          <w:color w:val="000000"/>
          <w:sz w:val="44"/>
          <w:szCs w:val="44"/>
          <w:lang w:val="zh-CN"/>
        </w:rPr>
        <w:t>双通道管理医保药师信息表</w:t>
      </w:r>
    </w:p>
    <w:p w14:paraId="6973040E">
      <w:pPr>
        <w:widowControl/>
        <w:jc w:val="left"/>
        <w:rPr>
          <w:rFonts w:hint="eastAsia" w:ascii="宋体" w:hAnsi="宋体" w:cs="宋体"/>
          <w:color w:val="000000"/>
          <w:kern w:val="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642"/>
        <w:gridCol w:w="1012"/>
        <w:gridCol w:w="2435"/>
        <w:gridCol w:w="2989"/>
      </w:tblGrid>
      <w:tr w14:paraId="1415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noWrap w:val="0"/>
            <w:vAlign w:val="center"/>
          </w:tcPr>
          <w:p w14:paraId="2784DE7C">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序号</w:t>
            </w:r>
          </w:p>
        </w:tc>
        <w:tc>
          <w:tcPr>
            <w:tcW w:w="1642" w:type="dxa"/>
            <w:noWrap w:val="0"/>
            <w:vAlign w:val="center"/>
          </w:tcPr>
          <w:p w14:paraId="2ACA411A">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药师代码</w:t>
            </w:r>
          </w:p>
        </w:tc>
        <w:tc>
          <w:tcPr>
            <w:tcW w:w="1012" w:type="dxa"/>
            <w:noWrap w:val="0"/>
            <w:vAlign w:val="center"/>
          </w:tcPr>
          <w:p w14:paraId="5BA5E015">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姓名</w:t>
            </w:r>
          </w:p>
        </w:tc>
        <w:tc>
          <w:tcPr>
            <w:tcW w:w="2435" w:type="dxa"/>
            <w:noWrap w:val="0"/>
            <w:vAlign w:val="center"/>
          </w:tcPr>
          <w:p w14:paraId="4F1332AF">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执业地区</w:t>
            </w:r>
          </w:p>
        </w:tc>
        <w:tc>
          <w:tcPr>
            <w:tcW w:w="2989" w:type="dxa"/>
            <w:noWrap w:val="0"/>
            <w:vAlign w:val="center"/>
          </w:tcPr>
          <w:p w14:paraId="029F9427">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执业单位</w:t>
            </w:r>
          </w:p>
        </w:tc>
      </w:tr>
      <w:tr w14:paraId="42FD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noWrap w:val="0"/>
            <w:vAlign w:val="center"/>
          </w:tcPr>
          <w:p w14:paraId="7EEA9C90">
            <w:pPr>
              <w:widowControl/>
              <w:jc w:val="center"/>
              <w:rPr>
                <w:rFonts w:hint="eastAsia" w:ascii="宋体" w:hAnsi="宋体" w:cs="宋体"/>
                <w:color w:val="000000"/>
                <w:kern w:val="0"/>
                <w:sz w:val="20"/>
              </w:rPr>
            </w:pPr>
          </w:p>
        </w:tc>
        <w:tc>
          <w:tcPr>
            <w:tcW w:w="1642" w:type="dxa"/>
            <w:noWrap w:val="0"/>
            <w:vAlign w:val="center"/>
          </w:tcPr>
          <w:p w14:paraId="0EDB5FF6">
            <w:pPr>
              <w:widowControl/>
              <w:jc w:val="center"/>
              <w:rPr>
                <w:rFonts w:hint="eastAsia" w:ascii="宋体" w:hAnsi="宋体" w:cs="宋体"/>
                <w:color w:val="000000"/>
                <w:kern w:val="0"/>
                <w:sz w:val="20"/>
              </w:rPr>
            </w:pPr>
          </w:p>
        </w:tc>
        <w:tc>
          <w:tcPr>
            <w:tcW w:w="1012" w:type="dxa"/>
            <w:noWrap w:val="0"/>
            <w:vAlign w:val="center"/>
          </w:tcPr>
          <w:p w14:paraId="7CBAC2F2">
            <w:pPr>
              <w:widowControl/>
              <w:jc w:val="center"/>
              <w:rPr>
                <w:rFonts w:hint="eastAsia" w:ascii="宋体" w:hAnsi="宋体" w:cs="宋体"/>
                <w:color w:val="000000"/>
                <w:kern w:val="0"/>
                <w:sz w:val="20"/>
              </w:rPr>
            </w:pPr>
          </w:p>
        </w:tc>
        <w:tc>
          <w:tcPr>
            <w:tcW w:w="2435" w:type="dxa"/>
            <w:noWrap w:val="0"/>
            <w:vAlign w:val="center"/>
          </w:tcPr>
          <w:p w14:paraId="6B35B764">
            <w:pPr>
              <w:widowControl/>
              <w:jc w:val="center"/>
              <w:rPr>
                <w:rFonts w:hint="eastAsia" w:ascii="宋体" w:hAnsi="宋体" w:cs="宋体"/>
                <w:color w:val="000000"/>
                <w:kern w:val="0"/>
                <w:sz w:val="20"/>
              </w:rPr>
            </w:pPr>
          </w:p>
        </w:tc>
        <w:tc>
          <w:tcPr>
            <w:tcW w:w="2989" w:type="dxa"/>
            <w:noWrap w:val="0"/>
            <w:vAlign w:val="center"/>
          </w:tcPr>
          <w:p w14:paraId="544100EA">
            <w:pPr>
              <w:widowControl/>
              <w:jc w:val="center"/>
              <w:rPr>
                <w:rFonts w:hint="eastAsia" w:ascii="宋体" w:hAnsi="宋体" w:cs="宋体"/>
                <w:color w:val="000000"/>
                <w:kern w:val="0"/>
                <w:sz w:val="20"/>
              </w:rPr>
            </w:pPr>
          </w:p>
        </w:tc>
      </w:tr>
      <w:tr w14:paraId="5FC4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noWrap w:val="0"/>
            <w:vAlign w:val="top"/>
          </w:tcPr>
          <w:p w14:paraId="5782D5C8">
            <w:pPr>
              <w:widowControl/>
              <w:jc w:val="left"/>
              <w:rPr>
                <w:rFonts w:hint="eastAsia" w:ascii="宋体" w:hAnsi="宋体" w:cs="宋体"/>
                <w:color w:val="000000"/>
                <w:kern w:val="0"/>
                <w:sz w:val="20"/>
              </w:rPr>
            </w:pPr>
          </w:p>
        </w:tc>
        <w:tc>
          <w:tcPr>
            <w:tcW w:w="1642" w:type="dxa"/>
            <w:noWrap w:val="0"/>
            <w:vAlign w:val="top"/>
          </w:tcPr>
          <w:p w14:paraId="3CA48240">
            <w:pPr>
              <w:widowControl/>
              <w:jc w:val="left"/>
              <w:rPr>
                <w:rFonts w:hint="eastAsia" w:ascii="宋体" w:hAnsi="宋体" w:cs="宋体"/>
                <w:color w:val="000000"/>
                <w:kern w:val="0"/>
                <w:sz w:val="20"/>
              </w:rPr>
            </w:pPr>
          </w:p>
        </w:tc>
        <w:tc>
          <w:tcPr>
            <w:tcW w:w="1012" w:type="dxa"/>
            <w:noWrap w:val="0"/>
            <w:vAlign w:val="top"/>
          </w:tcPr>
          <w:p w14:paraId="22365DA5">
            <w:pPr>
              <w:widowControl/>
              <w:jc w:val="left"/>
              <w:rPr>
                <w:rFonts w:hint="eastAsia" w:ascii="宋体" w:hAnsi="宋体" w:cs="宋体"/>
                <w:color w:val="000000"/>
                <w:kern w:val="0"/>
                <w:sz w:val="20"/>
              </w:rPr>
            </w:pPr>
          </w:p>
        </w:tc>
        <w:tc>
          <w:tcPr>
            <w:tcW w:w="2435" w:type="dxa"/>
            <w:noWrap w:val="0"/>
            <w:vAlign w:val="top"/>
          </w:tcPr>
          <w:p w14:paraId="60C321A1">
            <w:pPr>
              <w:widowControl/>
              <w:jc w:val="left"/>
              <w:rPr>
                <w:rFonts w:hint="eastAsia" w:ascii="宋体" w:hAnsi="宋体" w:cs="宋体"/>
                <w:color w:val="000000"/>
                <w:kern w:val="0"/>
                <w:sz w:val="20"/>
              </w:rPr>
            </w:pPr>
          </w:p>
        </w:tc>
        <w:tc>
          <w:tcPr>
            <w:tcW w:w="2989" w:type="dxa"/>
            <w:noWrap w:val="0"/>
            <w:vAlign w:val="top"/>
          </w:tcPr>
          <w:p w14:paraId="48E5EDFD">
            <w:pPr>
              <w:widowControl/>
              <w:jc w:val="left"/>
              <w:rPr>
                <w:rFonts w:hint="eastAsia" w:ascii="宋体" w:hAnsi="宋体" w:cs="宋体"/>
                <w:color w:val="000000"/>
                <w:kern w:val="0"/>
                <w:sz w:val="20"/>
              </w:rPr>
            </w:pPr>
          </w:p>
        </w:tc>
      </w:tr>
      <w:tr w14:paraId="69D4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8" w:type="dxa"/>
            <w:noWrap w:val="0"/>
            <w:vAlign w:val="top"/>
          </w:tcPr>
          <w:p w14:paraId="6230BF3D">
            <w:pPr>
              <w:widowControl/>
              <w:jc w:val="left"/>
              <w:rPr>
                <w:rFonts w:hint="eastAsia" w:ascii="宋体" w:hAnsi="宋体" w:cs="宋体"/>
                <w:color w:val="000000"/>
                <w:kern w:val="0"/>
                <w:sz w:val="20"/>
              </w:rPr>
            </w:pPr>
          </w:p>
        </w:tc>
        <w:tc>
          <w:tcPr>
            <w:tcW w:w="1642" w:type="dxa"/>
            <w:noWrap w:val="0"/>
            <w:vAlign w:val="top"/>
          </w:tcPr>
          <w:p w14:paraId="12E6FB2E">
            <w:pPr>
              <w:widowControl/>
              <w:jc w:val="left"/>
              <w:rPr>
                <w:rFonts w:hint="eastAsia" w:ascii="宋体" w:hAnsi="宋体" w:cs="宋体"/>
                <w:color w:val="000000"/>
                <w:kern w:val="0"/>
                <w:sz w:val="20"/>
              </w:rPr>
            </w:pPr>
          </w:p>
        </w:tc>
        <w:tc>
          <w:tcPr>
            <w:tcW w:w="1012" w:type="dxa"/>
            <w:noWrap w:val="0"/>
            <w:vAlign w:val="top"/>
          </w:tcPr>
          <w:p w14:paraId="7649ED07">
            <w:pPr>
              <w:widowControl/>
              <w:jc w:val="left"/>
              <w:rPr>
                <w:rFonts w:hint="eastAsia" w:ascii="宋体" w:hAnsi="宋体" w:cs="宋体"/>
                <w:color w:val="000000"/>
                <w:kern w:val="0"/>
                <w:sz w:val="20"/>
              </w:rPr>
            </w:pPr>
          </w:p>
        </w:tc>
        <w:tc>
          <w:tcPr>
            <w:tcW w:w="2435" w:type="dxa"/>
            <w:noWrap w:val="0"/>
            <w:vAlign w:val="top"/>
          </w:tcPr>
          <w:p w14:paraId="170AFA52">
            <w:pPr>
              <w:widowControl/>
              <w:jc w:val="left"/>
              <w:rPr>
                <w:rFonts w:hint="eastAsia" w:ascii="宋体" w:hAnsi="宋体" w:cs="宋体"/>
                <w:color w:val="000000"/>
                <w:kern w:val="0"/>
                <w:sz w:val="20"/>
              </w:rPr>
            </w:pPr>
          </w:p>
        </w:tc>
        <w:tc>
          <w:tcPr>
            <w:tcW w:w="2989" w:type="dxa"/>
            <w:noWrap w:val="0"/>
            <w:vAlign w:val="top"/>
          </w:tcPr>
          <w:p w14:paraId="0E550501">
            <w:pPr>
              <w:widowControl/>
              <w:jc w:val="left"/>
              <w:rPr>
                <w:rFonts w:hint="eastAsia" w:ascii="宋体" w:hAnsi="宋体" w:cs="宋体"/>
                <w:color w:val="000000"/>
                <w:kern w:val="0"/>
                <w:sz w:val="20"/>
              </w:rPr>
            </w:pPr>
          </w:p>
        </w:tc>
      </w:tr>
    </w:tbl>
    <w:p w14:paraId="1731B32A">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执业药师注册证复印件另附页。</w:t>
      </w:r>
    </w:p>
    <w:p w14:paraId="445FC8BC">
      <w:pPr>
        <w:autoSpaceDE w:val="0"/>
        <w:autoSpaceDN w:val="0"/>
        <w:spacing w:line="700" w:lineRule="exact"/>
        <w:jc w:val="center"/>
        <w:rPr>
          <w:rFonts w:hint="eastAsia" w:ascii="方正小标宋简体" w:hAnsi="方正小标宋简体" w:eastAsia="方正小标宋简体" w:cs="方正小标宋简体"/>
          <w:b w:val="0"/>
          <w:bCs/>
          <w:color w:val="000000"/>
          <w:sz w:val="44"/>
          <w:szCs w:val="44"/>
          <w:lang w:val="zh-CN"/>
        </w:rPr>
      </w:pPr>
      <w:r>
        <w:rPr>
          <w:rFonts w:hint="eastAsia" w:ascii="方正小标宋简体" w:hAnsi="方正小标宋简体" w:eastAsia="方正小标宋简体" w:cs="方正小标宋简体"/>
          <w:b w:val="0"/>
          <w:bCs/>
          <w:color w:val="000000"/>
          <w:sz w:val="44"/>
          <w:szCs w:val="44"/>
          <w:lang w:val="zh-CN"/>
        </w:rPr>
        <w:t>配备双通道管理药品信息表</w:t>
      </w:r>
    </w:p>
    <w:p w14:paraId="5E6CDFB1">
      <w:pPr>
        <w:widowControl/>
        <w:jc w:val="left"/>
        <w:rPr>
          <w:rFonts w:hint="eastAsia" w:ascii="宋体" w:hAnsi="宋体" w:cs="宋体"/>
          <w:color w:val="000000"/>
          <w:kern w:val="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442"/>
        <w:gridCol w:w="1082"/>
        <w:gridCol w:w="3358"/>
        <w:gridCol w:w="2214"/>
      </w:tblGrid>
      <w:tr w14:paraId="1DB7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9" w:type="dxa"/>
            <w:noWrap w:val="0"/>
            <w:vAlign w:val="center"/>
          </w:tcPr>
          <w:p w14:paraId="1BC5A142">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序号</w:t>
            </w:r>
          </w:p>
        </w:tc>
        <w:tc>
          <w:tcPr>
            <w:tcW w:w="1442" w:type="dxa"/>
            <w:noWrap w:val="0"/>
            <w:vAlign w:val="center"/>
          </w:tcPr>
          <w:p w14:paraId="2E4A94BB">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药品名称</w:t>
            </w:r>
          </w:p>
        </w:tc>
        <w:tc>
          <w:tcPr>
            <w:tcW w:w="1082" w:type="dxa"/>
            <w:noWrap w:val="0"/>
            <w:vAlign w:val="center"/>
          </w:tcPr>
          <w:p w14:paraId="79049B82">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剂型</w:t>
            </w:r>
          </w:p>
        </w:tc>
        <w:tc>
          <w:tcPr>
            <w:tcW w:w="3358" w:type="dxa"/>
            <w:noWrap w:val="0"/>
            <w:vAlign w:val="center"/>
          </w:tcPr>
          <w:p w14:paraId="6112E503">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药品编码</w:t>
            </w:r>
          </w:p>
        </w:tc>
        <w:tc>
          <w:tcPr>
            <w:tcW w:w="2214" w:type="dxa"/>
            <w:noWrap w:val="0"/>
            <w:vAlign w:val="center"/>
          </w:tcPr>
          <w:p w14:paraId="7C9328FA">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备注</w:t>
            </w:r>
          </w:p>
        </w:tc>
      </w:tr>
      <w:tr w14:paraId="4E50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732AD761">
            <w:pPr>
              <w:widowControl/>
              <w:jc w:val="left"/>
              <w:rPr>
                <w:rFonts w:hint="eastAsia" w:ascii="宋体" w:hAnsi="宋体" w:cs="宋体"/>
                <w:color w:val="000000"/>
                <w:kern w:val="0"/>
                <w:sz w:val="20"/>
              </w:rPr>
            </w:pPr>
          </w:p>
        </w:tc>
        <w:tc>
          <w:tcPr>
            <w:tcW w:w="1442" w:type="dxa"/>
            <w:noWrap w:val="0"/>
            <w:vAlign w:val="top"/>
          </w:tcPr>
          <w:p w14:paraId="108F897B">
            <w:pPr>
              <w:widowControl/>
              <w:jc w:val="left"/>
              <w:rPr>
                <w:rFonts w:hint="eastAsia" w:ascii="宋体" w:hAnsi="宋体" w:cs="宋体"/>
                <w:color w:val="000000"/>
                <w:kern w:val="0"/>
                <w:sz w:val="20"/>
              </w:rPr>
            </w:pPr>
          </w:p>
        </w:tc>
        <w:tc>
          <w:tcPr>
            <w:tcW w:w="1082" w:type="dxa"/>
            <w:noWrap w:val="0"/>
            <w:vAlign w:val="top"/>
          </w:tcPr>
          <w:p w14:paraId="4E3EF811">
            <w:pPr>
              <w:widowControl/>
              <w:jc w:val="left"/>
              <w:rPr>
                <w:rFonts w:hint="eastAsia" w:ascii="宋体" w:hAnsi="宋体" w:cs="宋体"/>
                <w:color w:val="000000"/>
                <w:kern w:val="0"/>
                <w:sz w:val="20"/>
              </w:rPr>
            </w:pPr>
          </w:p>
        </w:tc>
        <w:tc>
          <w:tcPr>
            <w:tcW w:w="3358" w:type="dxa"/>
            <w:noWrap w:val="0"/>
            <w:vAlign w:val="top"/>
          </w:tcPr>
          <w:p w14:paraId="0FEFDD8F">
            <w:pPr>
              <w:widowControl/>
              <w:jc w:val="left"/>
              <w:rPr>
                <w:rFonts w:hint="eastAsia" w:ascii="宋体" w:hAnsi="宋体" w:cs="宋体"/>
                <w:color w:val="000000"/>
                <w:kern w:val="0"/>
                <w:sz w:val="20"/>
              </w:rPr>
            </w:pPr>
          </w:p>
        </w:tc>
        <w:tc>
          <w:tcPr>
            <w:tcW w:w="2214" w:type="dxa"/>
            <w:noWrap w:val="0"/>
            <w:vAlign w:val="top"/>
          </w:tcPr>
          <w:p w14:paraId="692EC3C5">
            <w:pPr>
              <w:widowControl/>
              <w:jc w:val="left"/>
              <w:rPr>
                <w:rFonts w:hint="eastAsia" w:ascii="宋体" w:hAnsi="宋体" w:cs="宋体"/>
                <w:color w:val="000000"/>
                <w:kern w:val="0"/>
                <w:sz w:val="20"/>
              </w:rPr>
            </w:pPr>
          </w:p>
        </w:tc>
      </w:tr>
      <w:tr w14:paraId="3B61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5371E795">
            <w:pPr>
              <w:widowControl/>
              <w:jc w:val="left"/>
              <w:rPr>
                <w:rFonts w:hint="eastAsia" w:ascii="宋体" w:hAnsi="宋体" w:cs="宋体"/>
                <w:color w:val="000000"/>
                <w:kern w:val="0"/>
                <w:sz w:val="20"/>
              </w:rPr>
            </w:pPr>
          </w:p>
        </w:tc>
        <w:tc>
          <w:tcPr>
            <w:tcW w:w="1442" w:type="dxa"/>
            <w:noWrap w:val="0"/>
            <w:vAlign w:val="top"/>
          </w:tcPr>
          <w:p w14:paraId="3E2D4051">
            <w:pPr>
              <w:widowControl/>
              <w:jc w:val="left"/>
              <w:rPr>
                <w:rFonts w:hint="eastAsia" w:ascii="宋体" w:hAnsi="宋体" w:cs="宋体"/>
                <w:color w:val="000000"/>
                <w:kern w:val="0"/>
                <w:sz w:val="20"/>
              </w:rPr>
            </w:pPr>
          </w:p>
        </w:tc>
        <w:tc>
          <w:tcPr>
            <w:tcW w:w="1082" w:type="dxa"/>
            <w:noWrap w:val="0"/>
            <w:vAlign w:val="top"/>
          </w:tcPr>
          <w:p w14:paraId="36F935A7">
            <w:pPr>
              <w:widowControl/>
              <w:jc w:val="left"/>
              <w:rPr>
                <w:rFonts w:hint="eastAsia" w:ascii="宋体" w:hAnsi="宋体" w:cs="宋体"/>
                <w:color w:val="000000"/>
                <w:kern w:val="0"/>
                <w:sz w:val="20"/>
              </w:rPr>
            </w:pPr>
          </w:p>
        </w:tc>
        <w:tc>
          <w:tcPr>
            <w:tcW w:w="3358" w:type="dxa"/>
            <w:noWrap w:val="0"/>
            <w:vAlign w:val="top"/>
          </w:tcPr>
          <w:p w14:paraId="21488F99">
            <w:pPr>
              <w:widowControl/>
              <w:jc w:val="left"/>
              <w:rPr>
                <w:rFonts w:hint="eastAsia" w:ascii="宋体" w:hAnsi="宋体" w:cs="宋体"/>
                <w:color w:val="000000"/>
                <w:kern w:val="0"/>
                <w:sz w:val="20"/>
              </w:rPr>
            </w:pPr>
          </w:p>
        </w:tc>
        <w:tc>
          <w:tcPr>
            <w:tcW w:w="2214" w:type="dxa"/>
            <w:noWrap w:val="0"/>
            <w:vAlign w:val="top"/>
          </w:tcPr>
          <w:p w14:paraId="2DBB510C">
            <w:pPr>
              <w:widowControl/>
              <w:jc w:val="left"/>
              <w:rPr>
                <w:rFonts w:hint="eastAsia" w:ascii="宋体" w:hAnsi="宋体" w:cs="宋体"/>
                <w:color w:val="000000"/>
                <w:kern w:val="0"/>
                <w:sz w:val="20"/>
              </w:rPr>
            </w:pPr>
          </w:p>
        </w:tc>
      </w:tr>
      <w:tr w14:paraId="206F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338D7BF1">
            <w:pPr>
              <w:widowControl/>
              <w:jc w:val="left"/>
              <w:rPr>
                <w:rFonts w:hint="eastAsia" w:ascii="宋体" w:hAnsi="宋体" w:cs="宋体"/>
                <w:color w:val="000000"/>
                <w:kern w:val="0"/>
                <w:sz w:val="20"/>
              </w:rPr>
            </w:pPr>
          </w:p>
        </w:tc>
        <w:tc>
          <w:tcPr>
            <w:tcW w:w="1442" w:type="dxa"/>
            <w:noWrap w:val="0"/>
            <w:vAlign w:val="top"/>
          </w:tcPr>
          <w:p w14:paraId="31D5CC0A">
            <w:pPr>
              <w:widowControl/>
              <w:jc w:val="left"/>
              <w:rPr>
                <w:rFonts w:hint="eastAsia" w:ascii="宋体" w:hAnsi="宋体" w:cs="宋体"/>
                <w:color w:val="000000"/>
                <w:kern w:val="0"/>
                <w:sz w:val="20"/>
              </w:rPr>
            </w:pPr>
          </w:p>
        </w:tc>
        <w:tc>
          <w:tcPr>
            <w:tcW w:w="1082" w:type="dxa"/>
            <w:noWrap w:val="0"/>
            <w:vAlign w:val="top"/>
          </w:tcPr>
          <w:p w14:paraId="4B1DC0E8">
            <w:pPr>
              <w:widowControl/>
              <w:jc w:val="left"/>
              <w:rPr>
                <w:rFonts w:hint="eastAsia" w:ascii="宋体" w:hAnsi="宋体" w:cs="宋体"/>
                <w:color w:val="000000"/>
                <w:kern w:val="0"/>
                <w:sz w:val="20"/>
              </w:rPr>
            </w:pPr>
          </w:p>
        </w:tc>
        <w:tc>
          <w:tcPr>
            <w:tcW w:w="3358" w:type="dxa"/>
            <w:noWrap w:val="0"/>
            <w:vAlign w:val="top"/>
          </w:tcPr>
          <w:p w14:paraId="22715DA0">
            <w:pPr>
              <w:widowControl/>
              <w:jc w:val="left"/>
              <w:rPr>
                <w:rFonts w:hint="eastAsia" w:ascii="宋体" w:hAnsi="宋体" w:cs="宋体"/>
                <w:color w:val="000000"/>
                <w:kern w:val="0"/>
                <w:sz w:val="20"/>
              </w:rPr>
            </w:pPr>
          </w:p>
        </w:tc>
        <w:tc>
          <w:tcPr>
            <w:tcW w:w="2214" w:type="dxa"/>
            <w:noWrap w:val="0"/>
            <w:vAlign w:val="top"/>
          </w:tcPr>
          <w:p w14:paraId="1C11C6A8">
            <w:pPr>
              <w:widowControl/>
              <w:jc w:val="left"/>
              <w:rPr>
                <w:rFonts w:hint="eastAsia" w:ascii="宋体" w:hAnsi="宋体" w:cs="宋体"/>
                <w:color w:val="000000"/>
                <w:kern w:val="0"/>
                <w:sz w:val="20"/>
              </w:rPr>
            </w:pPr>
          </w:p>
        </w:tc>
      </w:tr>
      <w:tr w14:paraId="665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34FE699C">
            <w:pPr>
              <w:widowControl/>
              <w:jc w:val="left"/>
              <w:rPr>
                <w:rFonts w:hint="eastAsia" w:ascii="宋体" w:hAnsi="宋体" w:cs="宋体"/>
                <w:color w:val="000000"/>
                <w:kern w:val="0"/>
                <w:sz w:val="20"/>
              </w:rPr>
            </w:pPr>
          </w:p>
        </w:tc>
        <w:tc>
          <w:tcPr>
            <w:tcW w:w="1442" w:type="dxa"/>
            <w:noWrap w:val="0"/>
            <w:vAlign w:val="top"/>
          </w:tcPr>
          <w:p w14:paraId="5296835D">
            <w:pPr>
              <w:widowControl/>
              <w:jc w:val="left"/>
              <w:rPr>
                <w:rFonts w:hint="eastAsia" w:ascii="宋体" w:hAnsi="宋体" w:cs="宋体"/>
                <w:color w:val="000000"/>
                <w:kern w:val="0"/>
                <w:sz w:val="20"/>
              </w:rPr>
            </w:pPr>
          </w:p>
        </w:tc>
        <w:tc>
          <w:tcPr>
            <w:tcW w:w="1082" w:type="dxa"/>
            <w:noWrap w:val="0"/>
            <w:vAlign w:val="top"/>
          </w:tcPr>
          <w:p w14:paraId="5222CA36">
            <w:pPr>
              <w:widowControl/>
              <w:jc w:val="left"/>
              <w:rPr>
                <w:rFonts w:hint="eastAsia" w:ascii="宋体" w:hAnsi="宋体" w:cs="宋体"/>
                <w:color w:val="000000"/>
                <w:kern w:val="0"/>
                <w:sz w:val="20"/>
              </w:rPr>
            </w:pPr>
          </w:p>
        </w:tc>
        <w:tc>
          <w:tcPr>
            <w:tcW w:w="3358" w:type="dxa"/>
            <w:noWrap w:val="0"/>
            <w:vAlign w:val="top"/>
          </w:tcPr>
          <w:p w14:paraId="18A023C5">
            <w:pPr>
              <w:widowControl/>
              <w:jc w:val="left"/>
              <w:rPr>
                <w:rFonts w:hint="eastAsia" w:ascii="宋体" w:hAnsi="宋体" w:cs="宋体"/>
                <w:color w:val="000000"/>
                <w:kern w:val="0"/>
                <w:sz w:val="20"/>
              </w:rPr>
            </w:pPr>
          </w:p>
        </w:tc>
        <w:tc>
          <w:tcPr>
            <w:tcW w:w="2214" w:type="dxa"/>
            <w:noWrap w:val="0"/>
            <w:vAlign w:val="top"/>
          </w:tcPr>
          <w:p w14:paraId="7E4ED9AC">
            <w:pPr>
              <w:widowControl/>
              <w:jc w:val="left"/>
              <w:rPr>
                <w:rFonts w:hint="eastAsia" w:ascii="宋体" w:hAnsi="宋体" w:cs="宋体"/>
                <w:color w:val="000000"/>
                <w:kern w:val="0"/>
                <w:sz w:val="20"/>
              </w:rPr>
            </w:pPr>
          </w:p>
        </w:tc>
      </w:tr>
      <w:tr w14:paraId="7139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0D49F43F">
            <w:pPr>
              <w:widowControl/>
              <w:jc w:val="left"/>
              <w:rPr>
                <w:rFonts w:hint="eastAsia" w:ascii="宋体" w:hAnsi="宋体" w:cs="宋体"/>
                <w:color w:val="000000"/>
                <w:kern w:val="0"/>
                <w:sz w:val="20"/>
              </w:rPr>
            </w:pPr>
          </w:p>
        </w:tc>
        <w:tc>
          <w:tcPr>
            <w:tcW w:w="1442" w:type="dxa"/>
            <w:noWrap w:val="0"/>
            <w:vAlign w:val="top"/>
          </w:tcPr>
          <w:p w14:paraId="61F67359">
            <w:pPr>
              <w:widowControl/>
              <w:jc w:val="left"/>
              <w:rPr>
                <w:rFonts w:hint="eastAsia" w:ascii="宋体" w:hAnsi="宋体" w:cs="宋体"/>
                <w:color w:val="000000"/>
                <w:kern w:val="0"/>
                <w:sz w:val="20"/>
              </w:rPr>
            </w:pPr>
          </w:p>
        </w:tc>
        <w:tc>
          <w:tcPr>
            <w:tcW w:w="1082" w:type="dxa"/>
            <w:noWrap w:val="0"/>
            <w:vAlign w:val="top"/>
          </w:tcPr>
          <w:p w14:paraId="26B5DD66">
            <w:pPr>
              <w:widowControl/>
              <w:jc w:val="left"/>
              <w:rPr>
                <w:rFonts w:hint="eastAsia" w:ascii="宋体" w:hAnsi="宋体" w:cs="宋体"/>
                <w:color w:val="000000"/>
                <w:kern w:val="0"/>
                <w:sz w:val="20"/>
              </w:rPr>
            </w:pPr>
          </w:p>
        </w:tc>
        <w:tc>
          <w:tcPr>
            <w:tcW w:w="3358" w:type="dxa"/>
            <w:noWrap w:val="0"/>
            <w:vAlign w:val="top"/>
          </w:tcPr>
          <w:p w14:paraId="2A45DDB4">
            <w:pPr>
              <w:widowControl/>
              <w:jc w:val="left"/>
              <w:rPr>
                <w:rFonts w:hint="eastAsia" w:ascii="宋体" w:hAnsi="宋体" w:cs="宋体"/>
                <w:color w:val="000000"/>
                <w:kern w:val="0"/>
                <w:sz w:val="20"/>
              </w:rPr>
            </w:pPr>
          </w:p>
        </w:tc>
        <w:tc>
          <w:tcPr>
            <w:tcW w:w="2214" w:type="dxa"/>
            <w:noWrap w:val="0"/>
            <w:vAlign w:val="top"/>
          </w:tcPr>
          <w:p w14:paraId="23759F9D">
            <w:pPr>
              <w:widowControl/>
              <w:jc w:val="left"/>
              <w:rPr>
                <w:rFonts w:hint="eastAsia" w:ascii="宋体" w:hAnsi="宋体" w:cs="宋体"/>
                <w:color w:val="000000"/>
                <w:kern w:val="0"/>
                <w:sz w:val="20"/>
              </w:rPr>
            </w:pPr>
          </w:p>
        </w:tc>
      </w:tr>
      <w:tr w14:paraId="1652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37ACE042">
            <w:pPr>
              <w:widowControl/>
              <w:jc w:val="left"/>
              <w:rPr>
                <w:rFonts w:hint="eastAsia" w:ascii="宋体" w:hAnsi="宋体" w:cs="宋体"/>
                <w:color w:val="000000"/>
                <w:kern w:val="0"/>
                <w:sz w:val="20"/>
              </w:rPr>
            </w:pPr>
          </w:p>
        </w:tc>
        <w:tc>
          <w:tcPr>
            <w:tcW w:w="1442" w:type="dxa"/>
            <w:noWrap w:val="0"/>
            <w:vAlign w:val="top"/>
          </w:tcPr>
          <w:p w14:paraId="13A2CBD9">
            <w:pPr>
              <w:widowControl/>
              <w:jc w:val="left"/>
              <w:rPr>
                <w:rFonts w:hint="eastAsia" w:ascii="宋体" w:hAnsi="宋体" w:cs="宋体"/>
                <w:color w:val="000000"/>
                <w:kern w:val="0"/>
                <w:sz w:val="20"/>
              </w:rPr>
            </w:pPr>
          </w:p>
        </w:tc>
        <w:tc>
          <w:tcPr>
            <w:tcW w:w="1082" w:type="dxa"/>
            <w:noWrap w:val="0"/>
            <w:vAlign w:val="top"/>
          </w:tcPr>
          <w:p w14:paraId="37913EAE">
            <w:pPr>
              <w:widowControl/>
              <w:jc w:val="left"/>
              <w:rPr>
                <w:rFonts w:hint="eastAsia" w:ascii="宋体" w:hAnsi="宋体" w:cs="宋体"/>
                <w:color w:val="000000"/>
                <w:kern w:val="0"/>
                <w:sz w:val="20"/>
              </w:rPr>
            </w:pPr>
          </w:p>
        </w:tc>
        <w:tc>
          <w:tcPr>
            <w:tcW w:w="3358" w:type="dxa"/>
            <w:noWrap w:val="0"/>
            <w:vAlign w:val="top"/>
          </w:tcPr>
          <w:p w14:paraId="1A0C0C7A">
            <w:pPr>
              <w:widowControl/>
              <w:jc w:val="left"/>
              <w:rPr>
                <w:rFonts w:hint="eastAsia" w:ascii="宋体" w:hAnsi="宋体" w:cs="宋体"/>
                <w:color w:val="000000"/>
                <w:kern w:val="0"/>
                <w:sz w:val="20"/>
              </w:rPr>
            </w:pPr>
          </w:p>
        </w:tc>
        <w:tc>
          <w:tcPr>
            <w:tcW w:w="2214" w:type="dxa"/>
            <w:noWrap w:val="0"/>
            <w:vAlign w:val="top"/>
          </w:tcPr>
          <w:p w14:paraId="6BE3BE90">
            <w:pPr>
              <w:widowControl/>
              <w:jc w:val="left"/>
              <w:rPr>
                <w:rFonts w:hint="eastAsia" w:ascii="宋体" w:hAnsi="宋体" w:cs="宋体"/>
                <w:color w:val="000000"/>
                <w:kern w:val="0"/>
                <w:sz w:val="20"/>
              </w:rPr>
            </w:pPr>
          </w:p>
        </w:tc>
      </w:tr>
      <w:tr w14:paraId="7BF2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38BF33FC">
            <w:pPr>
              <w:widowControl/>
              <w:jc w:val="left"/>
              <w:rPr>
                <w:rFonts w:hint="eastAsia" w:ascii="宋体" w:hAnsi="宋体" w:cs="宋体"/>
                <w:color w:val="000000"/>
                <w:kern w:val="0"/>
                <w:sz w:val="20"/>
              </w:rPr>
            </w:pPr>
          </w:p>
        </w:tc>
        <w:tc>
          <w:tcPr>
            <w:tcW w:w="1442" w:type="dxa"/>
            <w:noWrap w:val="0"/>
            <w:vAlign w:val="top"/>
          </w:tcPr>
          <w:p w14:paraId="7A074578">
            <w:pPr>
              <w:widowControl/>
              <w:jc w:val="left"/>
              <w:rPr>
                <w:rFonts w:hint="eastAsia" w:ascii="宋体" w:hAnsi="宋体" w:cs="宋体"/>
                <w:color w:val="000000"/>
                <w:kern w:val="0"/>
                <w:sz w:val="20"/>
              </w:rPr>
            </w:pPr>
          </w:p>
        </w:tc>
        <w:tc>
          <w:tcPr>
            <w:tcW w:w="1082" w:type="dxa"/>
            <w:noWrap w:val="0"/>
            <w:vAlign w:val="top"/>
          </w:tcPr>
          <w:p w14:paraId="3A584602">
            <w:pPr>
              <w:widowControl/>
              <w:jc w:val="left"/>
              <w:rPr>
                <w:rFonts w:hint="eastAsia" w:ascii="宋体" w:hAnsi="宋体" w:cs="宋体"/>
                <w:color w:val="000000"/>
                <w:kern w:val="0"/>
                <w:sz w:val="20"/>
              </w:rPr>
            </w:pPr>
          </w:p>
        </w:tc>
        <w:tc>
          <w:tcPr>
            <w:tcW w:w="3358" w:type="dxa"/>
            <w:noWrap w:val="0"/>
            <w:vAlign w:val="top"/>
          </w:tcPr>
          <w:p w14:paraId="05AB1164">
            <w:pPr>
              <w:widowControl/>
              <w:jc w:val="left"/>
              <w:rPr>
                <w:rFonts w:hint="eastAsia" w:ascii="宋体" w:hAnsi="宋体" w:cs="宋体"/>
                <w:color w:val="000000"/>
                <w:kern w:val="0"/>
                <w:sz w:val="20"/>
              </w:rPr>
            </w:pPr>
          </w:p>
        </w:tc>
        <w:tc>
          <w:tcPr>
            <w:tcW w:w="2214" w:type="dxa"/>
            <w:noWrap w:val="0"/>
            <w:vAlign w:val="top"/>
          </w:tcPr>
          <w:p w14:paraId="202BB224">
            <w:pPr>
              <w:widowControl/>
              <w:jc w:val="left"/>
              <w:rPr>
                <w:rFonts w:hint="eastAsia" w:ascii="宋体" w:hAnsi="宋体" w:cs="宋体"/>
                <w:color w:val="000000"/>
                <w:kern w:val="0"/>
                <w:sz w:val="20"/>
              </w:rPr>
            </w:pPr>
          </w:p>
        </w:tc>
      </w:tr>
      <w:tr w14:paraId="5161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08CB61A3">
            <w:pPr>
              <w:widowControl/>
              <w:jc w:val="left"/>
              <w:rPr>
                <w:rFonts w:hint="eastAsia" w:ascii="宋体" w:hAnsi="宋体" w:cs="宋体"/>
                <w:color w:val="000000"/>
                <w:kern w:val="0"/>
                <w:sz w:val="20"/>
              </w:rPr>
            </w:pPr>
          </w:p>
        </w:tc>
        <w:tc>
          <w:tcPr>
            <w:tcW w:w="1442" w:type="dxa"/>
            <w:noWrap w:val="0"/>
            <w:vAlign w:val="top"/>
          </w:tcPr>
          <w:p w14:paraId="36C21553">
            <w:pPr>
              <w:widowControl/>
              <w:jc w:val="left"/>
              <w:rPr>
                <w:rFonts w:hint="eastAsia" w:ascii="宋体" w:hAnsi="宋体" w:cs="宋体"/>
                <w:color w:val="000000"/>
                <w:kern w:val="0"/>
                <w:sz w:val="20"/>
              </w:rPr>
            </w:pPr>
          </w:p>
        </w:tc>
        <w:tc>
          <w:tcPr>
            <w:tcW w:w="1082" w:type="dxa"/>
            <w:noWrap w:val="0"/>
            <w:vAlign w:val="top"/>
          </w:tcPr>
          <w:p w14:paraId="3EB86468">
            <w:pPr>
              <w:widowControl/>
              <w:jc w:val="left"/>
              <w:rPr>
                <w:rFonts w:hint="eastAsia" w:ascii="宋体" w:hAnsi="宋体" w:cs="宋体"/>
                <w:color w:val="000000"/>
                <w:kern w:val="0"/>
                <w:sz w:val="20"/>
              </w:rPr>
            </w:pPr>
          </w:p>
        </w:tc>
        <w:tc>
          <w:tcPr>
            <w:tcW w:w="3358" w:type="dxa"/>
            <w:noWrap w:val="0"/>
            <w:vAlign w:val="top"/>
          </w:tcPr>
          <w:p w14:paraId="3BA5DDF7">
            <w:pPr>
              <w:widowControl/>
              <w:jc w:val="left"/>
              <w:rPr>
                <w:rFonts w:hint="eastAsia" w:ascii="宋体" w:hAnsi="宋体" w:cs="宋体"/>
                <w:color w:val="000000"/>
                <w:kern w:val="0"/>
                <w:sz w:val="20"/>
              </w:rPr>
            </w:pPr>
          </w:p>
        </w:tc>
        <w:tc>
          <w:tcPr>
            <w:tcW w:w="2214" w:type="dxa"/>
            <w:noWrap w:val="0"/>
            <w:vAlign w:val="top"/>
          </w:tcPr>
          <w:p w14:paraId="43DC4F20">
            <w:pPr>
              <w:widowControl/>
              <w:jc w:val="left"/>
              <w:rPr>
                <w:rFonts w:hint="eastAsia" w:ascii="宋体" w:hAnsi="宋体" w:cs="宋体"/>
                <w:color w:val="000000"/>
                <w:kern w:val="0"/>
                <w:sz w:val="20"/>
              </w:rPr>
            </w:pPr>
          </w:p>
        </w:tc>
      </w:tr>
      <w:tr w14:paraId="6C5F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6403F199">
            <w:pPr>
              <w:widowControl/>
              <w:jc w:val="left"/>
              <w:rPr>
                <w:rFonts w:hint="eastAsia" w:ascii="宋体" w:hAnsi="宋体" w:cs="宋体"/>
                <w:color w:val="000000"/>
                <w:kern w:val="0"/>
                <w:sz w:val="20"/>
              </w:rPr>
            </w:pPr>
          </w:p>
        </w:tc>
        <w:tc>
          <w:tcPr>
            <w:tcW w:w="1442" w:type="dxa"/>
            <w:noWrap w:val="0"/>
            <w:vAlign w:val="top"/>
          </w:tcPr>
          <w:p w14:paraId="4EF4AD05">
            <w:pPr>
              <w:widowControl/>
              <w:jc w:val="left"/>
              <w:rPr>
                <w:rFonts w:hint="eastAsia" w:ascii="宋体" w:hAnsi="宋体" w:cs="宋体"/>
                <w:color w:val="000000"/>
                <w:kern w:val="0"/>
                <w:sz w:val="20"/>
              </w:rPr>
            </w:pPr>
          </w:p>
        </w:tc>
        <w:tc>
          <w:tcPr>
            <w:tcW w:w="1082" w:type="dxa"/>
            <w:noWrap w:val="0"/>
            <w:vAlign w:val="top"/>
          </w:tcPr>
          <w:p w14:paraId="70FB9288">
            <w:pPr>
              <w:widowControl/>
              <w:jc w:val="left"/>
              <w:rPr>
                <w:rFonts w:hint="eastAsia" w:ascii="宋体" w:hAnsi="宋体" w:cs="宋体"/>
                <w:color w:val="000000"/>
                <w:kern w:val="0"/>
                <w:sz w:val="20"/>
              </w:rPr>
            </w:pPr>
          </w:p>
        </w:tc>
        <w:tc>
          <w:tcPr>
            <w:tcW w:w="3358" w:type="dxa"/>
            <w:noWrap w:val="0"/>
            <w:vAlign w:val="top"/>
          </w:tcPr>
          <w:p w14:paraId="3DB1EDC9">
            <w:pPr>
              <w:widowControl/>
              <w:jc w:val="left"/>
              <w:rPr>
                <w:rFonts w:hint="eastAsia" w:ascii="宋体" w:hAnsi="宋体" w:cs="宋体"/>
                <w:color w:val="000000"/>
                <w:kern w:val="0"/>
                <w:sz w:val="20"/>
              </w:rPr>
            </w:pPr>
          </w:p>
        </w:tc>
        <w:tc>
          <w:tcPr>
            <w:tcW w:w="2214" w:type="dxa"/>
            <w:noWrap w:val="0"/>
            <w:vAlign w:val="top"/>
          </w:tcPr>
          <w:p w14:paraId="3705471F">
            <w:pPr>
              <w:widowControl/>
              <w:jc w:val="left"/>
              <w:rPr>
                <w:rFonts w:hint="eastAsia" w:ascii="宋体" w:hAnsi="宋体" w:cs="宋体"/>
                <w:color w:val="000000"/>
                <w:kern w:val="0"/>
                <w:sz w:val="20"/>
              </w:rPr>
            </w:pPr>
          </w:p>
        </w:tc>
      </w:tr>
      <w:tr w14:paraId="7CE5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3E545A60">
            <w:pPr>
              <w:widowControl/>
              <w:jc w:val="left"/>
              <w:rPr>
                <w:rFonts w:hint="eastAsia" w:ascii="宋体" w:hAnsi="宋体" w:cs="宋体"/>
                <w:color w:val="000000"/>
                <w:kern w:val="0"/>
                <w:sz w:val="20"/>
              </w:rPr>
            </w:pPr>
          </w:p>
        </w:tc>
        <w:tc>
          <w:tcPr>
            <w:tcW w:w="1442" w:type="dxa"/>
            <w:noWrap w:val="0"/>
            <w:vAlign w:val="top"/>
          </w:tcPr>
          <w:p w14:paraId="21D5BBC5">
            <w:pPr>
              <w:widowControl/>
              <w:jc w:val="left"/>
              <w:rPr>
                <w:rFonts w:hint="eastAsia" w:ascii="宋体" w:hAnsi="宋体" w:cs="宋体"/>
                <w:color w:val="000000"/>
                <w:kern w:val="0"/>
                <w:sz w:val="20"/>
              </w:rPr>
            </w:pPr>
          </w:p>
        </w:tc>
        <w:tc>
          <w:tcPr>
            <w:tcW w:w="1082" w:type="dxa"/>
            <w:noWrap w:val="0"/>
            <w:vAlign w:val="top"/>
          </w:tcPr>
          <w:p w14:paraId="4706D40B">
            <w:pPr>
              <w:widowControl/>
              <w:jc w:val="left"/>
              <w:rPr>
                <w:rFonts w:hint="eastAsia" w:ascii="宋体" w:hAnsi="宋体" w:cs="宋体"/>
                <w:color w:val="000000"/>
                <w:kern w:val="0"/>
                <w:sz w:val="20"/>
              </w:rPr>
            </w:pPr>
          </w:p>
        </w:tc>
        <w:tc>
          <w:tcPr>
            <w:tcW w:w="3358" w:type="dxa"/>
            <w:noWrap w:val="0"/>
            <w:vAlign w:val="top"/>
          </w:tcPr>
          <w:p w14:paraId="1F50FAB5">
            <w:pPr>
              <w:widowControl/>
              <w:jc w:val="left"/>
              <w:rPr>
                <w:rFonts w:hint="eastAsia" w:ascii="宋体" w:hAnsi="宋体" w:cs="宋体"/>
                <w:color w:val="000000"/>
                <w:kern w:val="0"/>
                <w:sz w:val="20"/>
              </w:rPr>
            </w:pPr>
          </w:p>
        </w:tc>
        <w:tc>
          <w:tcPr>
            <w:tcW w:w="2214" w:type="dxa"/>
            <w:noWrap w:val="0"/>
            <w:vAlign w:val="top"/>
          </w:tcPr>
          <w:p w14:paraId="2B6EA7E4">
            <w:pPr>
              <w:widowControl/>
              <w:jc w:val="left"/>
              <w:rPr>
                <w:rFonts w:hint="eastAsia" w:ascii="宋体" w:hAnsi="宋体" w:cs="宋体"/>
                <w:color w:val="000000"/>
                <w:kern w:val="0"/>
                <w:sz w:val="20"/>
              </w:rPr>
            </w:pPr>
          </w:p>
        </w:tc>
      </w:tr>
      <w:tr w14:paraId="123E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32EB69EF">
            <w:pPr>
              <w:widowControl/>
              <w:jc w:val="left"/>
              <w:rPr>
                <w:rFonts w:hint="eastAsia" w:ascii="宋体" w:hAnsi="宋体" w:cs="宋体"/>
                <w:color w:val="000000"/>
                <w:kern w:val="0"/>
                <w:sz w:val="20"/>
              </w:rPr>
            </w:pPr>
          </w:p>
        </w:tc>
        <w:tc>
          <w:tcPr>
            <w:tcW w:w="1442" w:type="dxa"/>
            <w:noWrap w:val="0"/>
            <w:vAlign w:val="top"/>
          </w:tcPr>
          <w:p w14:paraId="307927F9">
            <w:pPr>
              <w:widowControl/>
              <w:jc w:val="left"/>
              <w:rPr>
                <w:rFonts w:hint="eastAsia" w:ascii="宋体" w:hAnsi="宋体" w:cs="宋体"/>
                <w:color w:val="000000"/>
                <w:kern w:val="0"/>
                <w:sz w:val="20"/>
              </w:rPr>
            </w:pPr>
          </w:p>
        </w:tc>
        <w:tc>
          <w:tcPr>
            <w:tcW w:w="1082" w:type="dxa"/>
            <w:noWrap w:val="0"/>
            <w:vAlign w:val="top"/>
          </w:tcPr>
          <w:p w14:paraId="78F0FA21">
            <w:pPr>
              <w:widowControl/>
              <w:jc w:val="left"/>
              <w:rPr>
                <w:rFonts w:hint="eastAsia" w:ascii="宋体" w:hAnsi="宋体" w:cs="宋体"/>
                <w:color w:val="000000"/>
                <w:kern w:val="0"/>
                <w:sz w:val="20"/>
              </w:rPr>
            </w:pPr>
          </w:p>
        </w:tc>
        <w:tc>
          <w:tcPr>
            <w:tcW w:w="3358" w:type="dxa"/>
            <w:noWrap w:val="0"/>
            <w:vAlign w:val="top"/>
          </w:tcPr>
          <w:p w14:paraId="5E74BA2A">
            <w:pPr>
              <w:widowControl/>
              <w:jc w:val="left"/>
              <w:rPr>
                <w:rFonts w:hint="eastAsia" w:ascii="宋体" w:hAnsi="宋体" w:cs="宋体"/>
                <w:color w:val="000000"/>
                <w:kern w:val="0"/>
                <w:sz w:val="20"/>
              </w:rPr>
            </w:pPr>
          </w:p>
        </w:tc>
        <w:tc>
          <w:tcPr>
            <w:tcW w:w="2214" w:type="dxa"/>
            <w:noWrap w:val="0"/>
            <w:vAlign w:val="top"/>
          </w:tcPr>
          <w:p w14:paraId="29745236">
            <w:pPr>
              <w:widowControl/>
              <w:jc w:val="left"/>
              <w:rPr>
                <w:rFonts w:hint="eastAsia" w:ascii="宋体" w:hAnsi="宋体" w:cs="宋体"/>
                <w:color w:val="000000"/>
                <w:kern w:val="0"/>
                <w:sz w:val="20"/>
              </w:rPr>
            </w:pPr>
          </w:p>
        </w:tc>
      </w:tr>
      <w:tr w14:paraId="5CFF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2177657F">
            <w:pPr>
              <w:widowControl/>
              <w:jc w:val="left"/>
              <w:rPr>
                <w:rFonts w:hint="eastAsia" w:ascii="宋体" w:hAnsi="宋体" w:cs="宋体"/>
                <w:color w:val="000000"/>
                <w:kern w:val="0"/>
                <w:sz w:val="20"/>
              </w:rPr>
            </w:pPr>
          </w:p>
        </w:tc>
        <w:tc>
          <w:tcPr>
            <w:tcW w:w="1442" w:type="dxa"/>
            <w:noWrap w:val="0"/>
            <w:vAlign w:val="top"/>
          </w:tcPr>
          <w:p w14:paraId="132203FC">
            <w:pPr>
              <w:widowControl/>
              <w:jc w:val="left"/>
              <w:rPr>
                <w:rFonts w:hint="eastAsia" w:ascii="宋体" w:hAnsi="宋体" w:cs="宋体"/>
                <w:color w:val="000000"/>
                <w:kern w:val="0"/>
                <w:sz w:val="20"/>
              </w:rPr>
            </w:pPr>
          </w:p>
        </w:tc>
        <w:tc>
          <w:tcPr>
            <w:tcW w:w="1082" w:type="dxa"/>
            <w:noWrap w:val="0"/>
            <w:vAlign w:val="top"/>
          </w:tcPr>
          <w:p w14:paraId="2C1D12A1">
            <w:pPr>
              <w:widowControl/>
              <w:jc w:val="left"/>
              <w:rPr>
                <w:rFonts w:hint="eastAsia" w:ascii="宋体" w:hAnsi="宋体" w:cs="宋体"/>
                <w:color w:val="000000"/>
                <w:kern w:val="0"/>
                <w:sz w:val="20"/>
              </w:rPr>
            </w:pPr>
          </w:p>
        </w:tc>
        <w:tc>
          <w:tcPr>
            <w:tcW w:w="3358" w:type="dxa"/>
            <w:noWrap w:val="0"/>
            <w:vAlign w:val="top"/>
          </w:tcPr>
          <w:p w14:paraId="139D87C3">
            <w:pPr>
              <w:widowControl/>
              <w:jc w:val="left"/>
              <w:rPr>
                <w:rFonts w:hint="eastAsia" w:ascii="宋体" w:hAnsi="宋体" w:cs="宋体"/>
                <w:color w:val="000000"/>
                <w:kern w:val="0"/>
                <w:sz w:val="20"/>
              </w:rPr>
            </w:pPr>
          </w:p>
        </w:tc>
        <w:tc>
          <w:tcPr>
            <w:tcW w:w="2214" w:type="dxa"/>
            <w:noWrap w:val="0"/>
            <w:vAlign w:val="top"/>
          </w:tcPr>
          <w:p w14:paraId="081DB266">
            <w:pPr>
              <w:widowControl/>
              <w:jc w:val="left"/>
              <w:rPr>
                <w:rFonts w:hint="eastAsia" w:ascii="宋体" w:hAnsi="宋体" w:cs="宋体"/>
                <w:color w:val="000000"/>
                <w:kern w:val="0"/>
                <w:sz w:val="20"/>
              </w:rPr>
            </w:pPr>
          </w:p>
        </w:tc>
      </w:tr>
      <w:tr w14:paraId="2537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4B67EA13">
            <w:pPr>
              <w:widowControl/>
              <w:jc w:val="left"/>
              <w:rPr>
                <w:rFonts w:hint="eastAsia" w:ascii="宋体" w:hAnsi="宋体" w:cs="宋体"/>
                <w:color w:val="000000"/>
                <w:kern w:val="0"/>
                <w:sz w:val="20"/>
              </w:rPr>
            </w:pPr>
          </w:p>
        </w:tc>
        <w:tc>
          <w:tcPr>
            <w:tcW w:w="1442" w:type="dxa"/>
            <w:noWrap w:val="0"/>
            <w:vAlign w:val="top"/>
          </w:tcPr>
          <w:p w14:paraId="1C1C3456">
            <w:pPr>
              <w:widowControl/>
              <w:jc w:val="left"/>
              <w:rPr>
                <w:rFonts w:hint="eastAsia" w:ascii="宋体" w:hAnsi="宋体" w:cs="宋体"/>
                <w:color w:val="000000"/>
                <w:kern w:val="0"/>
                <w:sz w:val="20"/>
              </w:rPr>
            </w:pPr>
          </w:p>
        </w:tc>
        <w:tc>
          <w:tcPr>
            <w:tcW w:w="1082" w:type="dxa"/>
            <w:noWrap w:val="0"/>
            <w:vAlign w:val="top"/>
          </w:tcPr>
          <w:p w14:paraId="747F09A1">
            <w:pPr>
              <w:widowControl/>
              <w:jc w:val="left"/>
              <w:rPr>
                <w:rFonts w:hint="eastAsia" w:ascii="宋体" w:hAnsi="宋体" w:cs="宋体"/>
                <w:color w:val="000000"/>
                <w:kern w:val="0"/>
                <w:sz w:val="20"/>
              </w:rPr>
            </w:pPr>
          </w:p>
        </w:tc>
        <w:tc>
          <w:tcPr>
            <w:tcW w:w="3358" w:type="dxa"/>
            <w:noWrap w:val="0"/>
            <w:vAlign w:val="top"/>
          </w:tcPr>
          <w:p w14:paraId="7263CD7C">
            <w:pPr>
              <w:widowControl/>
              <w:jc w:val="left"/>
              <w:rPr>
                <w:rFonts w:hint="eastAsia" w:ascii="宋体" w:hAnsi="宋体" w:cs="宋体"/>
                <w:color w:val="000000"/>
                <w:kern w:val="0"/>
                <w:sz w:val="20"/>
              </w:rPr>
            </w:pPr>
          </w:p>
        </w:tc>
        <w:tc>
          <w:tcPr>
            <w:tcW w:w="2214" w:type="dxa"/>
            <w:noWrap w:val="0"/>
            <w:vAlign w:val="top"/>
          </w:tcPr>
          <w:p w14:paraId="1BE5557F">
            <w:pPr>
              <w:widowControl/>
              <w:jc w:val="left"/>
              <w:rPr>
                <w:rFonts w:hint="eastAsia" w:ascii="宋体" w:hAnsi="宋体" w:cs="宋体"/>
                <w:color w:val="000000"/>
                <w:kern w:val="0"/>
                <w:sz w:val="20"/>
              </w:rPr>
            </w:pPr>
          </w:p>
        </w:tc>
      </w:tr>
      <w:tr w14:paraId="6E18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9" w:type="dxa"/>
            <w:noWrap w:val="0"/>
            <w:vAlign w:val="top"/>
          </w:tcPr>
          <w:p w14:paraId="4998B7E5">
            <w:pPr>
              <w:widowControl/>
              <w:jc w:val="left"/>
              <w:rPr>
                <w:rFonts w:hint="eastAsia" w:ascii="宋体" w:hAnsi="宋体" w:cs="宋体"/>
                <w:color w:val="000000"/>
                <w:kern w:val="0"/>
                <w:sz w:val="20"/>
              </w:rPr>
            </w:pPr>
          </w:p>
        </w:tc>
        <w:tc>
          <w:tcPr>
            <w:tcW w:w="1442" w:type="dxa"/>
            <w:noWrap w:val="0"/>
            <w:vAlign w:val="top"/>
          </w:tcPr>
          <w:p w14:paraId="0B0DF52F">
            <w:pPr>
              <w:widowControl/>
              <w:jc w:val="left"/>
              <w:rPr>
                <w:rFonts w:hint="eastAsia" w:ascii="宋体" w:hAnsi="宋体" w:cs="宋体"/>
                <w:color w:val="000000"/>
                <w:kern w:val="0"/>
                <w:sz w:val="20"/>
              </w:rPr>
            </w:pPr>
          </w:p>
        </w:tc>
        <w:tc>
          <w:tcPr>
            <w:tcW w:w="1082" w:type="dxa"/>
            <w:noWrap w:val="0"/>
            <w:vAlign w:val="top"/>
          </w:tcPr>
          <w:p w14:paraId="27698A2E">
            <w:pPr>
              <w:widowControl/>
              <w:jc w:val="left"/>
              <w:rPr>
                <w:rFonts w:hint="eastAsia" w:ascii="宋体" w:hAnsi="宋体" w:cs="宋体"/>
                <w:color w:val="000000"/>
                <w:kern w:val="0"/>
                <w:sz w:val="20"/>
              </w:rPr>
            </w:pPr>
          </w:p>
        </w:tc>
        <w:tc>
          <w:tcPr>
            <w:tcW w:w="3358" w:type="dxa"/>
            <w:noWrap w:val="0"/>
            <w:vAlign w:val="top"/>
          </w:tcPr>
          <w:p w14:paraId="468EB313">
            <w:pPr>
              <w:widowControl/>
              <w:jc w:val="left"/>
              <w:rPr>
                <w:rFonts w:hint="eastAsia" w:ascii="宋体" w:hAnsi="宋体" w:cs="宋体"/>
                <w:color w:val="000000"/>
                <w:kern w:val="0"/>
                <w:sz w:val="20"/>
              </w:rPr>
            </w:pPr>
          </w:p>
        </w:tc>
        <w:tc>
          <w:tcPr>
            <w:tcW w:w="2214" w:type="dxa"/>
            <w:noWrap w:val="0"/>
            <w:vAlign w:val="top"/>
          </w:tcPr>
          <w:p w14:paraId="6A0B4433">
            <w:pPr>
              <w:widowControl/>
              <w:jc w:val="left"/>
              <w:rPr>
                <w:rFonts w:hint="eastAsia" w:ascii="宋体" w:hAnsi="宋体" w:cs="宋体"/>
                <w:color w:val="000000"/>
                <w:kern w:val="0"/>
                <w:sz w:val="20"/>
              </w:rPr>
            </w:pPr>
          </w:p>
        </w:tc>
      </w:tr>
    </w:tbl>
    <w:p w14:paraId="26622C3E">
      <w:pPr>
        <w:widowControl/>
        <w:jc w:val="left"/>
        <w:rPr>
          <w:rFonts w:hint="eastAsia" w:ascii="宋体" w:hAnsi="宋体" w:cs="宋体"/>
          <w:color w:val="000000"/>
          <w:spacing w:val="-2"/>
          <w:kern w:val="0"/>
          <w:szCs w:val="21"/>
        </w:rPr>
      </w:pPr>
      <w:r>
        <w:rPr>
          <w:rFonts w:hint="eastAsia" w:ascii="宋体" w:hAnsi="宋体" w:cs="宋体"/>
          <w:color w:val="000000"/>
          <w:spacing w:val="-2"/>
          <w:kern w:val="0"/>
          <w:szCs w:val="21"/>
        </w:rPr>
        <w:t>配备的双通道药品品种发生改变的，应按医保协议约定的方式和要求更新配备药品备案信息，并保持品种数量不低于双通道药品目录总品种的30%。</w:t>
      </w:r>
    </w:p>
    <w:p w14:paraId="35FF8C07">
      <w:pPr>
        <w:keepNext w:val="0"/>
        <w:keepLines w:val="0"/>
        <w:pageBreakBefore w:val="0"/>
        <w:kinsoku/>
        <w:wordWrap/>
        <w:overflowPunct/>
        <w:topLinePunct w:val="0"/>
        <w:bidi w:val="0"/>
        <w:adjustRightInd/>
        <w:snapToGrid/>
        <w:ind w:left="0" w:leftChars="0" w:firstLine="0" w:firstLineChars="0"/>
        <w:jc w:val="left"/>
        <w:textAlignment w:val="auto"/>
        <w:rPr>
          <w:rFonts w:hint="eastAsia" w:ascii="仿宋" w:hAnsi="仿宋" w:eastAsia="仿宋" w:cs="仿宋"/>
          <w:sz w:val="32"/>
          <w:szCs w:val="32"/>
        </w:rPr>
      </w:pPr>
    </w:p>
    <w:p w14:paraId="226EBE1B">
      <w:pPr>
        <w:autoSpaceDE w:val="0"/>
        <w:autoSpaceDN w:val="0"/>
        <w:spacing w:line="700" w:lineRule="exact"/>
        <w:jc w:val="left"/>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lang w:val="zh-CN"/>
        </w:rPr>
        <w:t>：</w:t>
      </w:r>
    </w:p>
    <w:p w14:paraId="4C9325A7">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14:ligatures w14:val="none"/>
        </w:rPr>
      </w:pPr>
      <w:r>
        <w:rPr>
          <w:rFonts w:hint="eastAsia" w:ascii="方正小标宋简体" w:hAnsi="方正小标宋简体" w:eastAsia="方正小标宋简体" w:cs="方正小标宋简体"/>
          <w:color w:val="000000"/>
          <w:kern w:val="0"/>
          <w:sz w:val="44"/>
          <w:szCs w:val="44"/>
          <w:lang w:eastAsia="zh-CN"/>
          <w14:ligatures w14:val="none"/>
        </w:rPr>
        <w:t>宁</w:t>
      </w:r>
      <w:r>
        <w:rPr>
          <w:rFonts w:hint="eastAsia" w:ascii="方正小标宋简体" w:hAnsi="方正小标宋简体" w:eastAsia="方正小标宋简体" w:cs="方正小标宋简体"/>
          <w:color w:val="000000"/>
          <w:kern w:val="0"/>
          <w:sz w:val="44"/>
          <w:szCs w:val="44"/>
          <w:lang w:eastAsia="zh-CN"/>
          <w14:ligatures w14:val="none"/>
        </w:rPr>
        <w:t>夏基本</w:t>
      </w:r>
      <w:r>
        <w:rPr>
          <w:rFonts w:hint="eastAsia" w:ascii="方正小标宋简体" w:hAnsi="方正小标宋简体" w:eastAsia="方正小标宋简体" w:cs="方正小标宋简体"/>
          <w:color w:val="000000"/>
          <w:kern w:val="0"/>
          <w:sz w:val="44"/>
          <w:szCs w:val="44"/>
          <w14:ligatures w14:val="none"/>
        </w:rPr>
        <w:t>医保“双通道”管理</w:t>
      </w:r>
    </w:p>
    <w:p w14:paraId="3C0A0845">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14:ligatures w14:val="none"/>
        </w:rPr>
      </w:pPr>
      <w:r>
        <w:rPr>
          <w:rFonts w:hint="eastAsia" w:ascii="方正小标宋简体" w:hAnsi="方正小标宋简体" w:eastAsia="方正小标宋简体" w:cs="方正小标宋简体"/>
          <w:color w:val="000000"/>
          <w:kern w:val="0"/>
          <w:sz w:val="44"/>
          <w:szCs w:val="44"/>
          <w14:ligatures w14:val="none"/>
        </w:rPr>
        <w:t>零售药店诚信承诺书</w:t>
      </w:r>
    </w:p>
    <w:p w14:paraId="48652AAE">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宋体" w:eastAsia="仿宋_GB2312" w:cs="宋体"/>
          <w:color w:val="000000"/>
          <w:kern w:val="0"/>
          <w:sz w:val="32"/>
          <w:szCs w:val="32"/>
          <w:lang w:val="en-US" w:eastAsia="zh-CN" w:bidi="ar-SA"/>
        </w:rPr>
      </w:pPr>
    </w:p>
    <w:p w14:paraId="7ED3BA6A">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xxx医保局：</w:t>
      </w:r>
    </w:p>
    <w:p w14:paraId="75D0A8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现我药店                    向你中心申请开通“双通道”药品门诊服务，并承诺：</w:t>
      </w:r>
    </w:p>
    <w:p w14:paraId="38441A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1.提供的所有材料是真实的、合法的。</w:t>
      </w:r>
    </w:p>
    <w:p w14:paraId="1749C8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2.信守行业自律规则，恪守职业道德准则，合法诚信经营。</w:t>
      </w:r>
    </w:p>
    <w:p w14:paraId="543424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3.所售“双通道”药品价格不得高于谈判药的谈判价格。</w:t>
      </w:r>
    </w:p>
    <w:p w14:paraId="77D5FDE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4.认同补充协议，服从医疗保障部门管理。</w:t>
      </w:r>
    </w:p>
    <w:p w14:paraId="694825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5.建立健全“双通道”病人审批表、处方、购药清单、购药记录、药品配送原始凭证、代购（领）情况登记等购药电子档案和纸质档案。</w:t>
      </w:r>
    </w:p>
    <w:p w14:paraId="78BCFA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6.设立送药上门服务电话，对因行动不便或病情危重 的参保人员提供免费送药上门服务。</w:t>
      </w:r>
    </w:p>
    <w:p w14:paraId="56B92D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7.遵守医疗保险相关政策规定，规范经营，诚信经营，向参保人员提供优质高效“双通道”门诊购药服务。   </w:t>
      </w:r>
    </w:p>
    <w:p w14:paraId="342E1735">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如违反以上承诺，我药店自愿接受医保部门处理。</w:t>
      </w:r>
    </w:p>
    <w:p w14:paraId="4302CC1E">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           </w:t>
      </w:r>
    </w:p>
    <w:p w14:paraId="31FCF9DB">
      <w:pPr>
        <w:keepNext w:val="0"/>
        <w:keepLines w:val="0"/>
        <w:pageBreakBefore w:val="0"/>
        <w:widowControl w:val="0"/>
        <w:kinsoku/>
        <w:wordWrap/>
        <w:overflowPunct/>
        <w:topLinePunct w:val="0"/>
        <w:autoSpaceDE w:val="0"/>
        <w:autoSpaceDN w:val="0"/>
        <w:bidi w:val="0"/>
        <w:adjustRightInd/>
        <w:snapToGrid/>
        <w:spacing w:line="560" w:lineRule="exact"/>
        <w:ind w:firstLine="3840" w:firstLineChars="1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承诺单位（盖章）：</w:t>
      </w:r>
    </w:p>
    <w:p w14:paraId="4F974E21">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法定代表人签字：</w:t>
      </w:r>
    </w:p>
    <w:p w14:paraId="53CB051B">
      <w:pPr>
        <w:autoSpaceDE w:val="0"/>
        <w:autoSpaceDN w:val="0"/>
        <w:spacing w:line="700" w:lineRule="exact"/>
        <w:jc w:val="left"/>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年    月    日   </w:t>
      </w:r>
    </w:p>
    <w:p w14:paraId="7953F34B">
      <w:pPr>
        <w:autoSpaceDE w:val="0"/>
        <w:autoSpaceDN w:val="0"/>
        <w:spacing w:line="700" w:lineRule="exact"/>
        <w:jc w:val="left"/>
        <w:rPr>
          <w:rFonts w:hint="eastAsia" w:ascii="仿宋_GB2312" w:hAnsi="宋体" w:eastAsia="仿宋_GB2312" w:cs="宋体"/>
          <w:color w:val="000000"/>
          <w:kern w:val="0"/>
          <w:sz w:val="32"/>
          <w:szCs w:val="32"/>
          <w:lang w:val="en-US" w:eastAsia="zh-CN" w:bidi="ar-SA"/>
        </w:rPr>
      </w:pPr>
    </w:p>
    <w:p w14:paraId="24ACCE42">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lang w:val="zh-CN"/>
        </w:rPr>
        <w:t>：</w:t>
      </w:r>
    </w:p>
    <w:p w14:paraId="2A5212D6">
      <w:pPr>
        <w:keepNext w:val="0"/>
        <w:keepLines w:val="0"/>
        <w:pageBreakBefore w:val="0"/>
        <w:widowControl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b w:val="0"/>
          <w:bCs w:val="0"/>
          <w:sz w:val="32"/>
          <w:szCs w:val="32"/>
        </w:rPr>
      </w:pPr>
      <w:r>
        <w:rPr>
          <w:rFonts w:hint="eastAsia" w:ascii="方正小标宋简体" w:hAnsi="方正小标宋简体" w:eastAsia="方正小标宋简体" w:cs="方正小标宋简体"/>
          <w:b w:val="0"/>
          <w:bCs w:val="0"/>
          <w:sz w:val="44"/>
          <w:szCs w:val="44"/>
          <w:lang w:eastAsia="zh-CN"/>
        </w:rPr>
        <w:t>宁夏基本医保</w:t>
      </w:r>
      <w:r>
        <w:rPr>
          <w:rFonts w:hint="eastAsia" w:ascii="方正小标宋简体" w:hAnsi="方正小标宋简体" w:eastAsia="方正小标宋简体" w:cs="方正小标宋简体"/>
          <w:b w:val="0"/>
          <w:bCs w:val="0"/>
          <w:sz w:val="44"/>
          <w:szCs w:val="44"/>
        </w:rPr>
        <w:t>谈判药品“三定”准入标准</w:t>
      </w:r>
    </w:p>
    <w:p w14:paraId="1C78F793">
      <w:pPr>
        <w:keepNext w:val="0"/>
        <w:keepLines w:val="0"/>
        <w:pageBreakBefore w:val="0"/>
        <w:widowControl w:val="0"/>
        <w:numPr>
          <w:ilvl w:val="0"/>
          <w:numId w:val="0"/>
        </w:numPr>
        <w:kinsoku/>
        <w:wordWrap/>
        <w:overflowPunct/>
        <w:topLinePunct w:val="0"/>
        <w:bidi w:val="0"/>
        <w:adjustRightInd/>
        <w:snapToGrid/>
        <w:spacing w:line="560" w:lineRule="exact"/>
        <w:ind w:leftChars="0"/>
        <w:jc w:val="left"/>
        <w:textAlignment w:val="auto"/>
        <w:rPr>
          <w:rFonts w:hint="eastAsia" w:ascii="仿宋" w:hAnsi="仿宋" w:eastAsia="仿宋" w:cs="仿宋"/>
          <w:b/>
          <w:bCs/>
          <w:sz w:val="32"/>
          <w:szCs w:val="32"/>
          <w:lang w:eastAsia="zh-CN"/>
        </w:rPr>
      </w:pPr>
    </w:p>
    <w:p w14:paraId="134B502F">
      <w:pPr>
        <w:keepNext w:val="0"/>
        <w:keepLines w:val="0"/>
        <w:pageBreakBefore w:val="0"/>
        <w:widowControl w:val="0"/>
        <w:numPr>
          <w:ilvl w:val="0"/>
          <w:numId w:val="0"/>
        </w:numPr>
        <w:kinsoku/>
        <w:wordWrap/>
        <w:overflowPunct/>
        <w:topLinePunct w:val="0"/>
        <w:bidi w:val="0"/>
        <w:adjustRightInd/>
        <w:snapToGrid/>
        <w:spacing w:line="560" w:lineRule="exact"/>
        <w:ind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定点医疗机构</w:t>
      </w:r>
    </w:p>
    <w:p w14:paraId="014C0D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（一）二级及以上医疗机构;</w:t>
      </w:r>
    </w:p>
    <w:p w14:paraId="690EBA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（二）有治疗特殊谈判药品相应疾病的学科设置，具备相应的诊疗能力:</w:t>
      </w:r>
    </w:p>
    <w:p w14:paraId="30E68B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（三）能够按照国家谈判议定的价格向患者销售谈判药品;</w:t>
      </w:r>
    </w:p>
    <w:p w14:paraId="42EDA7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（四）信息系统建设完备，能够实现门诊特殊谈判药品处方审核、流转、追溯等功能;</w:t>
      </w:r>
    </w:p>
    <w:p w14:paraId="3D11E0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（五）近一年内没有发生违规被医保、卫生健康部门处罚:</w:t>
      </w:r>
    </w:p>
    <w:p w14:paraId="30B3E46B">
      <w:pPr>
        <w:keepNext w:val="0"/>
        <w:keepLines w:val="0"/>
        <w:pageBreakBefore w:val="0"/>
        <w:widowControl w:val="0"/>
        <w:numPr>
          <w:ilvl w:val="0"/>
          <w:numId w:val="0"/>
        </w:numPr>
        <w:kinsoku/>
        <w:wordWrap/>
        <w:overflowPunct/>
        <w:topLinePunct w:val="0"/>
        <w:bidi w:val="0"/>
        <w:adjustRightInd/>
        <w:snapToGrid/>
        <w:spacing w:line="560" w:lineRule="exact"/>
        <w:ind w:leftChars="0"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二、定点责任医师</w:t>
      </w:r>
    </w:p>
    <w:p w14:paraId="51E8E6A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（一）主治及以上相应疾病临床医师;</w:t>
      </w:r>
    </w:p>
    <w:p w14:paraId="32B6EDB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（二）在我区诚信医保医师库中，近三年内未受医保处理;</w:t>
      </w:r>
    </w:p>
    <w:p w14:paraId="2C8A9A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（三）近三年内未发生过药事事故。</w:t>
      </w:r>
    </w:p>
    <w:p w14:paraId="16CC0C95">
      <w:pPr>
        <w:keepNext w:val="0"/>
        <w:keepLines w:val="0"/>
        <w:pageBreakBefore w:val="0"/>
        <w:widowControl w:val="0"/>
        <w:numPr>
          <w:ilvl w:val="0"/>
          <w:numId w:val="0"/>
        </w:numPr>
        <w:kinsoku/>
        <w:wordWrap/>
        <w:overflowPunct/>
        <w:topLinePunct w:val="0"/>
        <w:bidi w:val="0"/>
        <w:adjustRightInd/>
        <w:snapToGrid/>
        <w:spacing w:line="560" w:lineRule="exact"/>
        <w:ind w:lef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三、定点零售药店</w:t>
      </w:r>
    </w:p>
    <w:p w14:paraId="2AFAE2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（一）具有药监、市场监管等部门批准的经营资质;</w:t>
      </w:r>
    </w:p>
    <w:p w14:paraId="16B8EF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（二）管理规范，并设置专门的特殊谈判药品仓储区，对于需要冷藏的特殊药品有专门的冷藏储存区;</w:t>
      </w:r>
    </w:p>
    <w:p w14:paraId="4ACA0A1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（三）能够保证药品质量安全，具备足够的药品供应能力，并按照国家谈判议定的价格向患者销售谈判药品;</w:t>
      </w:r>
    </w:p>
    <w:p w14:paraId="2D8A86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（四）有专业药师向患者提供特殊谈判药品的药事咨询等服务;</w:t>
      </w:r>
    </w:p>
    <w:p w14:paraId="0DC9A7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（五）信息化程度高，能够与医疗机构、医保经办等系统进行对接，实现药品进销存数据的实时管理和药品处方的流转，追溯及医保结算等功能;</w:t>
      </w:r>
    </w:p>
    <w:p w14:paraId="7CC2B4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(六)具备向患者提供特殊谈判药品配送服务的能力;</w:t>
      </w:r>
    </w:p>
    <w:p w14:paraId="16FC90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(七)近一年未受医保、药监等部门的处罚处理。</w:t>
      </w:r>
    </w:p>
    <w:p w14:paraId="49C558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p>
    <w:p w14:paraId="5D581B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p>
    <w:p w14:paraId="24C9CD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p>
    <w:p w14:paraId="08C5B4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bidi="ar-SA"/>
        </w:rPr>
      </w:pPr>
    </w:p>
    <w:p w14:paraId="688552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zh-CN" w:eastAsia="zh-CN" w:bidi="ar-SA"/>
        </w:rPr>
      </w:pPr>
    </w:p>
    <w:p w14:paraId="489D311E">
      <w:pPr>
        <w:autoSpaceDE w:val="0"/>
        <w:autoSpaceDN w:val="0"/>
        <w:spacing w:line="700" w:lineRule="exact"/>
        <w:jc w:val="left"/>
        <w:rPr>
          <w:rFonts w:hint="eastAsia" w:ascii="仿宋_GB2312" w:hAnsi="宋体" w:eastAsia="仿宋_GB2312"/>
          <w:color w:val="000000"/>
          <w:sz w:val="24"/>
          <w:szCs w:val="24"/>
          <w:lang w:val="zh-CN"/>
        </w:rPr>
      </w:pPr>
    </w:p>
    <w:p w14:paraId="4FAE11C7">
      <w:pPr>
        <w:autoSpaceDE w:val="0"/>
        <w:autoSpaceDN w:val="0"/>
        <w:spacing w:line="700" w:lineRule="exact"/>
        <w:jc w:val="left"/>
        <w:rPr>
          <w:rFonts w:hint="eastAsia" w:ascii="仿宋_GB2312" w:hAnsi="宋体" w:eastAsia="仿宋_GB2312"/>
          <w:color w:val="000000"/>
          <w:sz w:val="24"/>
          <w:szCs w:val="24"/>
          <w:lang w:val="zh-CN"/>
        </w:rPr>
      </w:pPr>
    </w:p>
    <w:p w14:paraId="6079A280">
      <w:pPr>
        <w:autoSpaceDE w:val="0"/>
        <w:autoSpaceDN w:val="0"/>
        <w:spacing w:line="700" w:lineRule="exact"/>
        <w:jc w:val="left"/>
        <w:rPr>
          <w:rFonts w:hint="eastAsia" w:ascii="仿宋_GB2312" w:hAnsi="宋体" w:eastAsia="仿宋_GB2312"/>
          <w:color w:val="000000"/>
          <w:sz w:val="24"/>
          <w:szCs w:val="24"/>
          <w:lang w:val="zh-CN"/>
        </w:rPr>
      </w:pPr>
    </w:p>
    <w:p w14:paraId="3BCCBA70">
      <w:pPr>
        <w:autoSpaceDE w:val="0"/>
        <w:autoSpaceDN w:val="0"/>
        <w:spacing w:line="700" w:lineRule="exact"/>
        <w:jc w:val="left"/>
        <w:rPr>
          <w:rFonts w:hint="eastAsia" w:ascii="仿宋_GB2312" w:hAnsi="宋体" w:eastAsia="仿宋_GB2312"/>
          <w:color w:val="000000"/>
          <w:sz w:val="24"/>
          <w:szCs w:val="24"/>
          <w:lang w:val="zh-CN"/>
        </w:rPr>
      </w:pPr>
    </w:p>
    <w:p w14:paraId="3432D184">
      <w:pPr>
        <w:autoSpaceDE w:val="0"/>
        <w:autoSpaceDN w:val="0"/>
        <w:spacing w:line="700" w:lineRule="exact"/>
        <w:jc w:val="left"/>
        <w:rPr>
          <w:rFonts w:hint="eastAsia" w:ascii="仿宋_GB2312" w:hAnsi="宋体" w:eastAsia="仿宋_GB2312"/>
          <w:color w:val="000000"/>
          <w:sz w:val="24"/>
          <w:szCs w:val="24"/>
          <w:lang w:val="zh-CN"/>
        </w:rPr>
      </w:pPr>
    </w:p>
    <w:p w14:paraId="382581FE">
      <w:pPr>
        <w:autoSpaceDE w:val="0"/>
        <w:autoSpaceDN w:val="0"/>
        <w:spacing w:line="700" w:lineRule="exact"/>
        <w:jc w:val="left"/>
        <w:rPr>
          <w:rFonts w:hint="eastAsia" w:ascii="仿宋_GB2312" w:hAnsi="宋体" w:eastAsia="仿宋_GB2312"/>
          <w:color w:val="000000"/>
          <w:sz w:val="24"/>
          <w:szCs w:val="24"/>
          <w:lang w:val="zh-CN"/>
        </w:rPr>
      </w:pPr>
    </w:p>
    <w:p w14:paraId="3DE66264">
      <w:pPr>
        <w:autoSpaceDE w:val="0"/>
        <w:autoSpaceDN w:val="0"/>
        <w:spacing w:line="700" w:lineRule="exact"/>
        <w:jc w:val="left"/>
        <w:rPr>
          <w:rFonts w:hint="eastAsia" w:ascii="仿宋_GB2312" w:hAnsi="宋体" w:eastAsia="仿宋_GB2312"/>
          <w:color w:val="000000"/>
          <w:sz w:val="24"/>
          <w:szCs w:val="24"/>
          <w:lang w:val="zh-CN"/>
        </w:rPr>
      </w:pPr>
    </w:p>
    <w:p w14:paraId="0E6D27C9">
      <w:pPr>
        <w:autoSpaceDE w:val="0"/>
        <w:autoSpaceDN w:val="0"/>
        <w:spacing w:line="700" w:lineRule="exact"/>
        <w:jc w:val="left"/>
        <w:rPr>
          <w:rFonts w:hint="eastAsia" w:ascii="仿宋_GB2312" w:hAnsi="宋体" w:eastAsia="仿宋_GB2312"/>
          <w:color w:val="000000"/>
          <w:sz w:val="24"/>
          <w:szCs w:val="24"/>
          <w:lang w:val="zh-CN"/>
        </w:rPr>
      </w:pPr>
    </w:p>
    <w:p w14:paraId="6ABF9090">
      <w:pPr>
        <w:autoSpaceDE w:val="0"/>
        <w:autoSpaceDN w:val="0"/>
        <w:spacing w:line="700" w:lineRule="exact"/>
        <w:jc w:val="left"/>
        <w:rPr>
          <w:rFonts w:hint="eastAsia" w:ascii="仿宋_GB2312" w:hAnsi="宋体" w:eastAsia="仿宋_GB2312"/>
          <w:color w:val="000000"/>
          <w:sz w:val="24"/>
          <w:szCs w:val="24"/>
          <w:lang w:val="zh-CN"/>
        </w:rPr>
      </w:pPr>
    </w:p>
    <w:p w14:paraId="4F1EC61E">
      <w:pPr>
        <w:autoSpaceDE w:val="0"/>
        <w:autoSpaceDN w:val="0"/>
        <w:spacing w:line="700" w:lineRule="exact"/>
        <w:jc w:val="left"/>
        <w:rPr>
          <w:rFonts w:hint="eastAsia" w:ascii="仿宋_GB2312" w:hAnsi="宋体" w:eastAsia="仿宋_GB2312"/>
          <w:color w:val="000000"/>
          <w:sz w:val="24"/>
          <w:szCs w:val="24"/>
          <w:lang w:val="zh-CN"/>
        </w:rPr>
      </w:pPr>
    </w:p>
    <w:p w14:paraId="40AD8166">
      <w:pPr>
        <w:autoSpaceDE w:val="0"/>
        <w:autoSpaceDN w:val="0"/>
        <w:spacing w:line="700" w:lineRule="exact"/>
        <w:jc w:val="left"/>
        <w:rPr>
          <w:rFonts w:hint="eastAsia" w:ascii="仿宋_GB2312" w:hAnsi="宋体" w:eastAsia="仿宋_GB2312"/>
          <w:color w:val="000000"/>
          <w:sz w:val="24"/>
          <w:szCs w:val="24"/>
          <w:lang w:val="zh-CN"/>
        </w:rPr>
      </w:pPr>
    </w:p>
    <w:p w14:paraId="09C1F322">
      <w:pPr>
        <w:autoSpaceDE w:val="0"/>
        <w:autoSpaceDN w:val="0"/>
        <w:spacing w:line="700" w:lineRule="exact"/>
        <w:jc w:val="left"/>
        <w:rPr>
          <w:rFonts w:hint="eastAsia" w:ascii="仿宋_GB2312" w:hAnsi="宋体" w:eastAsia="仿宋_GB2312"/>
          <w:color w:val="000000"/>
          <w:sz w:val="24"/>
          <w:szCs w:val="24"/>
          <w:lang w:val="zh-CN"/>
        </w:rPr>
      </w:pPr>
    </w:p>
    <w:p w14:paraId="4F1F513F">
      <w:pPr>
        <w:autoSpaceDE w:val="0"/>
        <w:autoSpaceDN w:val="0"/>
        <w:spacing w:line="700" w:lineRule="exact"/>
        <w:jc w:val="left"/>
        <w:rPr>
          <w:rFonts w:hint="eastAsia" w:ascii="仿宋_GB2312" w:hAnsi="宋体" w:eastAsia="仿宋_GB2312"/>
          <w:color w:val="000000"/>
          <w:sz w:val="24"/>
          <w:szCs w:val="24"/>
          <w:lang w:val="zh-CN"/>
        </w:rPr>
      </w:pPr>
    </w:p>
    <w:p w14:paraId="72266D93">
      <w:pPr>
        <w:autoSpaceDE w:val="0"/>
        <w:autoSpaceDN w:val="0"/>
        <w:spacing w:line="700" w:lineRule="exact"/>
        <w:jc w:val="left"/>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lang w:val="zh-CN"/>
        </w:rPr>
        <w:t>：</w:t>
      </w:r>
    </w:p>
    <w:p w14:paraId="28771C9C">
      <w:pPr>
        <w:keepNext w:val="0"/>
        <w:keepLines w:val="0"/>
        <w:pageBreakBefore w:val="0"/>
        <w:widowControl w:val="0"/>
        <w:kinsoku/>
        <w:wordWrap/>
        <w:overflowPunct/>
        <w:topLinePunct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谈判药品定点医疗机构医疗保险</w:t>
      </w:r>
    </w:p>
    <w:p w14:paraId="21CAA131">
      <w:pPr>
        <w:keepNext w:val="0"/>
        <w:keepLines w:val="0"/>
        <w:pageBreakBefore w:val="0"/>
        <w:widowControl w:val="0"/>
        <w:kinsoku/>
        <w:wordWrap/>
        <w:overflowPunct/>
        <w:topLinePunct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服务补充协议</w:t>
      </w:r>
    </w:p>
    <w:p w14:paraId="0044D304">
      <w:pPr>
        <w:keepNext w:val="0"/>
        <w:keepLines w:val="0"/>
        <w:pageBreakBefore w:val="0"/>
        <w:kinsoku/>
        <w:wordWrap/>
        <w:overflowPunct/>
        <w:topLinePunct w:val="0"/>
        <w:autoSpaceDE/>
        <w:autoSpaceDN/>
        <w:bidi w:val="0"/>
        <w:spacing w:line="560" w:lineRule="exact"/>
        <w:textAlignment w:val="auto"/>
        <w:rPr>
          <w:rFonts w:ascii="宋体" w:hAnsi="宋体" w:eastAsia="宋体"/>
          <w:color w:val="auto"/>
          <w:sz w:val="36"/>
          <w:szCs w:val="36"/>
        </w:rPr>
      </w:pPr>
    </w:p>
    <w:p w14:paraId="5C0D2532">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甲  方：</w:t>
      </w:r>
      <w:r>
        <w:rPr>
          <w:rFonts w:hint="eastAsia" w:ascii="仿宋_GB2312" w:hAnsi="仿宋_GB2312" w:eastAsia="仿宋_GB2312" w:cs="仿宋_GB2312"/>
          <w:color w:val="auto"/>
          <w:sz w:val="32"/>
          <w:szCs w:val="32"/>
          <w:u w:val="single"/>
        </w:rPr>
        <w:t xml:space="preserve">                                                     </w:t>
      </w:r>
    </w:p>
    <w:p w14:paraId="73BB05FC">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法定代表人或委托代理人：</w:t>
      </w:r>
      <w:r>
        <w:rPr>
          <w:rFonts w:hint="eastAsia" w:ascii="仿宋_GB2312" w:hAnsi="仿宋_GB2312" w:eastAsia="仿宋_GB2312" w:cs="仿宋_GB2312"/>
          <w:color w:val="auto"/>
          <w:sz w:val="32"/>
          <w:szCs w:val="32"/>
          <w:u w:val="single"/>
        </w:rPr>
        <w:t xml:space="preserve">                                </w:t>
      </w:r>
    </w:p>
    <w:p w14:paraId="015B6B31">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p>
    <w:p w14:paraId="72728102">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14:paraId="1AC4DE0E">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p>
    <w:p w14:paraId="7073D289">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p>
    <w:p w14:paraId="199890F4">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乙  方：</w:t>
      </w:r>
      <w:r>
        <w:rPr>
          <w:rFonts w:hint="eastAsia" w:ascii="仿宋_GB2312" w:hAnsi="仿宋_GB2312" w:eastAsia="仿宋_GB2312" w:cs="仿宋_GB2312"/>
          <w:color w:val="auto"/>
          <w:sz w:val="32"/>
          <w:szCs w:val="32"/>
          <w:u w:val="single"/>
        </w:rPr>
        <w:t xml:space="preserve">                                                     </w:t>
      </w:r>
    </w:p>
    <w:p w14:paraId="70E2D4A9">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法定代表人或委托代理人：</w:t>
      </w:r>
      <w:r>
        <w:rPr>
          <w:rFonts w:hint="eastAsia" w:ascii="仿宋_GB2312" w:hAnsi="仿宋_GB2312" w:eastAsia="仿宋_GB2312" w:cs="仿宋_GB2312"/>
          <w:color w:val="auto"/>
          <w:sz w:val="32"/>
          <w:szCs w:val="32"/>
          <w:u w:val="single"/>
        </w:rPr>
        <w:t xml:space="preserve">                                    </w:t>
      </w:r>
    </w:p>
    <w:p w14:paraId="6AEEE94D">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p>
    <w:p w14:paraId="7CCF15D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val="en-US" w:eastAsia="zh-CN"/>
        </w:rPr>
        <w:t>医疗机构</w:t>
      </w:r>
      <w:r>
        <w:rPr>
          <w:rFonts w:hint="eastAsia" w:ascii="仿宋_GB2312" w:hAnsi="仿宋_GB2312" w:eastAsia="仿宋_GB2312" w:cs="仿宋_GB2312"/>
          <w:color w:val="auto"/>
          <w:sz w:val="32"/>
          <w:szCs w:val="32"/>
        </w:rPr>
        <w:t>编码：</w:t>
      </w:r>
      <w:r>
        <w:rPr>
          <w:rFonts w:hint="eastAsia" w:ascii="仿宋_GB2312" w:hAnsi="仿宋_GB2312" w:eastAsia="仿宋_GB2312" w:cs="仿宋_GB2312"/>
          <w:color w:val="auto"/>
          <w:sz w:val="32"/>
          <w:szCs w:val="32"/>
          <w:u w:val="single"/>
        </w:rPr>
        <w:t xml:space="preserve">                                              </w:t>
      </w:r>
    </w:p>
    <w:p w14:paraId="01617BD7">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14:paraId="7FFF5DE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6"/>
          <w:szCs w:val="36"/>
        </w:rPr>
      </w:pPr>
    </w:p>
    <w:p w14:paraId="4A1EE2D4">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6"/>
          <w:szCs w:val="36"/>
        </w:rPr>
      </w:pPr>
    </w:p>
    <w:p w14:paraId="3D353FD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宁夏回族自治区医疗保障局制</w:t>
      </w:r>
    </w:p>
    <w:p w14:paraId="0FADA849">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0"/>
          <w:szCs w:val="30"/>
          <w:lang w:eastAsia="zh-CN"/>
        </w:rPr>
        <w:sectPr>
          <w:headerReference r:id="rId3" w:type="first"/>
          <w:footerReference r:id="rId5" w:type="first"/>
          <w:footerReference r:id="rId4" w:type="default"/>
          <w:pgSz w:w="11906" w:h="16838"/>
          <w:pgMar w:top="1418" w:right="1385" w:bottom="1418" w:left="1701" w:header="851" w:footer="992" w:gutter="0"/>
          <w:pgNumType w:fmt="decimal" w:start="1"/>
          <w:cols w:space="720" w:num="1"/>
          <w:docGrid w:linePitch="312" w:charSpace="0"/>
        </w:sect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月  </w:t>
      </w:r>
      <w:r>
        <w:rPr>
          <w:rFonts w:hint="eastAsia" w:ascii="仿宋_GB2312" w:hAnsi="仿宋_GB2312" w:eastAsia="仿宋_GB2312" w:cs="仿宋_GB2312"/>
          <w:color w:val="auto"/>
          <w:sz w:val="30"/>
          <w:szCs w:val="30"/>
          <w:lang w:eastAsia="zh-CN"/>
        </w:rPr>
        <w:t>日</w:t>
      </w:r>
    </w:p>
    <w:p w14:paraId="542EC7D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p>
    <w:p w14:paraId="3CFD891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kern w:val="0"/>
          <w:sz w:val="44"/>
          <w:szCs w:val="44"/>
          <w:lang w:val="en-US" w:eastAsia="zh-CN"/>
        </w:rPr>
        <w:t>谈判药品定点医疗机构</w:t>
      </w:r>
      <w:r>
        <w:rPr>
          <w:rFonts w:hint="eastAsia" w:ascii="方正小标宋简体" w:hAnsi="方正小标宋简体" w:eastAsia="方正小标宋简体" w:cs="方正小标宋简体"/>
          <w:color w:val="auto"/>
          <w:sz w:val="44"/>
          <w:szCs w:val="44"/>
          <w:highlight w:val="none"/>
          <w:lang w:val="en-US" w:eastAsia="zh-CN"/>
        </w:rPr>
        <w:t>医疗保险</w:t>
      </w:r>
    </w:p>
    <w:p w14:paraId="57E4E0A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服务补充协议</w:t>
      </w:r>
    </w:p>
    <w:p w14:paraId="11DF671C">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1B7B7653">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p>
    <w:p w14:paraId="423026E5">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14:paraId="6664E2E3">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14:paraId="0B159879">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p>
    <w:p w14:paraId="56D3E4C0">
      <w:pPr>
        <w:keepNext w:val="0"/>
        <w:keepLines w:val="0"/>
        <w:pageBreakBefore w:val="0"/>
        <w:kinsoku/>
        <w:wordWrap/>
        <w:overflowPunct/>
        <w:topLinePunct w:val="0"/>
        <w:autoSpaceDE/>
        <w:autoSpaceDN/>
        <w:bidi w:val="0"/>
        <w:spacing w:line="560" w:lineRule="exact"/>
        <w:ind w:firstLine="604" w:firstLineChars="200"/>
        <w:jc w:val="both"/>
        <w:textAlignment w:val="auto"/>
        <w:rPr>
          <w:rFonts w:hint="eastAsia" w:ascii="仿宋_GB2312" w:hAnsi="仿宋_GB2312" w:eastAsia="仿宋_GB2312" w:cs="仿宋_GB2312"/>
          <w:color w:val="auto"/>
          <w:spacing w:val="-1"/>
          <w:w w:val="95"/>
          <w:sz w:val="32"/>
          <w:szCs w:val="32"/>
        </w:rPr>
      </w:pPr>
      <w:r>
        <w:rPr>
          <w:rFonts w:hint="eastAsia" w:ascii="仿宋_GB2312" w:hAnsi="仿宋_GB2312" w:eastAsia="仿宋_GB2312" w:cs="仿宋_GB2312"/>
          <w:color w:val="auto"/>
          <w:spacing w:val="-1"/>
          <w:w w:val="95"/>
          <w:sz w:val="32"/>
          <w:szCs w:val="32"/>
        </w:rPr>
        <w:t>为规范医疗保险</w:t>
      </w:r>
      <w:r>
        <w:rPr>
          <w:rFonts w:hint="eastAsia" w:ascii="仿宋_GB2312" w:hAnsi="仿宋_GB2312" w:eastAsia="仿宋_GB2312" w:cs="仿宋_GB2312"/>
          <w:color w:val="auto"/>
          <w:spacing w:val="-1"/>
          <w:w w:val="95"/>
          <w:sz w:val="32"/>
          <w:szCs w:val="32"/>
          <w:lang w:val="en-US" w:eastAsia="zh-CN"/>
        </w:rPr>
        <w:t>谈判</w:t>
      </w:r>
      <w:r>
        <w:rPr>
          <w:rFonts w:hint="eastAsia" w:ascii="仿宋_GB2312" w:hAnsi="仿宋_GB2312" w:eastAsia="仿宋_GB2312" w:cs="仿宋_GB2312"/>
          <w:color w:val="auto"/>
          <w:spacing w:val="-1"/>
          <w:w w:val="95"/>
          <w:sz w:val="32"/>
          <w:szCs w:val="32"/>
        </w:rPr>
        <w:t>药品管理，保障重特大疾病患者用药需求，根据</w:t>
      </w:r>
      <w:r>
        <w:rPr>
          <w:rFonts w:hint="eastAsia" w:ascii="仿宋_GB2312" w:hAnsi="仿宋_GB2312" w:eastAsia="仿宋_GB2312" w:cs="仿宋_GB2312"/>
          <w:color w:val="auto"/>
          <w:spacing w:val="-1"/>
          <w:w w:val="95"/>
          <w:sz w:val="32"/>
          <w:szCs w:val="32"/>
          <w:lang w:val="en-US" w:eastAsia="zh-CN"/>
        </w:rPr>
        <w:t>谈判药品</w:t>
      </w:r>
      <w:r>
        <w:rPr>
          <w:rFonts w:hint="eastAsia" w:ascii="仿宋_GB2312" w:hAnsi="仿宋_GB2312" w:eastAsia="仿宋_GB2312" w:cs="仿宋_GB2312"/>
          <w:color w:val="auto"/>
          <w:spacing w:val="-1"/>
          <w:w w:val="95"/>
          <w:sz w:val="32"/>
          <w:szCs w:val="32"/>
        </w:rPr>
        <w:t>政策的有关规定，甲方确认乙方为我</w:t>
      </w:r>
      <w:r>
        <w:rPr>
          <w:rFonts w:hint="eastAsia" w:ascii="仿宋_GB2312" w:hAnsi="仿宋_GB2312" w:eastAsia="仿宋_GB2312" w:cs="仿宋_GB2312"/>
          <w:color w:val="auto"/>
          <w:spacing w:val="-1"/>
          <w:w w:val="95"/>
          <w:sz w:val="32"/>
          <w:szCs w:val="32"/>
          <w:lang w:val="en-US" w:eastAsia="zh-CN"/>
        </w:rPr>
        <w:t>区</w:t>
      </w:r>
      <w:r>
        <w:rPr>
          <w:rFonts w:hint="eastAsia" w:ascii="仿宋_GB2312" w:hAnsi="仿宋_GB2312" w:eastAsia="仿宋_GB2312" w:cs="仿宋_GB2312"/>
          <w:color w:val="auto"/>
          <w:spacing w:val="-1"/>
          <w:w w:val="95"/>
          <w:sz w:val="32"/>
          <w:szCs w:val="32"/>
        </w:rPr>
        <w:t>医疗保险</w:t>
      </w:r>
      <w:r>
        <w:rPr>
          <w:rFonts w:hint="eastAsia" w:ascii="仿宋_GB2312" w:hAnsi="仿宋_GB2312" w:eastAsia="仿宋_GB2312" w:cs="仿宋_GB2312"/>
          <w:color w:val="auto"/>
          <w:spacing w:val="-1"/>
          <w:w w:val="95"/>
          <w:sz w:val="32"/>
          <w:szCs w:val="32"/>
          <w:lang w:val="en-US" w:eastAsia="zh-CN"/>
        </w:rPr>
        <w:t>谈判药品</w:t>
      </w:r>
      <w:r>
        <w:rPr>
          <w:rFonts w:hint="eastAsia" w:ascii="仿宋_GB2312" w:hAnsi="仿宋_GB2312" w:eastAsia="仿宋_GB2312" w:cs="仿宋_GB2312"/>
          <w:color w:val="auto"/>
          <w:spacing w:val="-1"/>
          <w:w w:val="95"/>
          <w:sz w:val="32"/>
          <w:szCs w:val="32"/>
        </w:rPr>
        <w:t>定点</w:t>
      </w:r>
      <w:r>
        <w:rPr>
          <w:rFonts w:hint="eastAsia" w:ascii="仿宋_GB2312" w:hAnsi="仿宋_GB2312" w:eastAsia="仿宋_GB2312" w:cs="仿宋_GB2312"/>
          <w:color w:val="auto"/>
          <w:spacing w:val="-1"/>
          <w:w w:val="95"/>
          <w:sz w:val="32"/>
          <w:szCs w:val="32"/>
          <w:lang w:val="en-US" w:eastAsia="zh-CN"/>
        </w:rPr>
        <w:t>医疗机构</w:t>
      </w:r>
      <w:r>
        <w:rPr>
          <w:rFonts w:hint="eastAsia" w:ascii="仿宋_GB2312" w:hAnsi="仿宋_GB2312" w:eastAsia="仿宋_GB2312" w:cs="仿宋_GB2312"/>
          <w:color w:val="auto"/>
          <w:spacing w:val="-1"/>
          <w:w w:val="95"/>
          <w:sz w:val="32"/>
          <w:szCs w:val="32"/>
        </w:rPr>
        <w:t>，在原</w:t>
      </w:r>
      <w:r>
        <w:rPr>
          <w:rFonts w:hint="eastAsia" w:ascii="仿宋_GB2312" w:hAnsi="仿宋_GB2312" w:eastAsia="仿宋_GB2312" w:cs="仿宋_GB2312"/>
          <w:color w:val="auto"/>
          <w:spacing w:val="-1"/>
          <w:w w:val="95"/>
          <w:sz w:val="32"/>
          <w:szCs w:val="32"/>
          <w:lang w:val="en-US" w:eastAsia="zh-CN"/>
        </w:rPr>
        <w:t>定点医疗机构《医疗保险服务协议》</w:t>
      </w:r>
      <w:r>
        <w:rPr>
          <w:rFonts w:hint="eastAsia" w:ascii="仿宋_GB2312" w:hAnsi="仿宋_GB2312" w:eastAsia="仿宋_GB2312" w:cs="仿宋_GB2312"/>
          <w:color w:val="auto"/>
          <w:spacing w:val="-1"/>
          <w:w w:val="95"/>
          <w:sz w:val="32"/>
          <w:szCs w:val="32"/>
        </w:rPr>
        <w:t>基础上，本着甲乙双方自愿的原则，</w:t>
      </w:r>
      <w:r>
        <w:rPr>
          <w:rFonts w:hint="eastAsia" w:ascii="仿宋_GB2312" w:hAnsi="仿宋_GB2312" w:eastAsia="仿宋_GB2312" w:cs="仿宋_GB2312"/>
          <w:color w:val="auto"/>
          <w:spacing w:val="-1"/>
          <w:w w:val="95"/>
          <w:sz w:val="32"/>
          <w:szCs w:val="32"/>
          <w:lang w:val="en-US" w:eastAsia="zh-CN"/>
        </w:rPr>
        <w:t>就谈判药品</w:t>
      </w:r>
      <w:r>
        <w:rPr>
          <w:rFonts w:hint="eastAsia" w:ascii="仿宋_GB2312" w:hAnsi="仿宋_GB2312" w:eastAsia="仿宋_GB2312" w:cs="仿宋_GB2312"/>
          <w:color w:val="auto"/>
          <w:spacing w:val="3"/>
          <w:sz w:val="32"/>
          <w:szCs w:val="32"/>
        </w:rPr>
        <w:t>相关事宜</w:t>
      </w:r>
      <w:r>
        <w:rPr>
          <w:rFonts w:hint="eastAsia" w:ascii="仿宋_GB2312" w:hAnsi="仿宋_GB2312" w:eastAsia="仿宋_GB2312" w:cs="仿宋_GB2312"/>
          <w:color w:val="auto"/>
          <w:spacing w:val="-1"/>
          <w:w w:val="95"/>
          <w:sz w:val="32"/>
          <w:szCs w:val="32"/>
        </w:rPr>
        <w:t>签订如下补充协议：</w:t>
      </w:r>
    </w:p>
    <w:p w14:paraId="4535A389">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第一条 甲乙</w:t>
      </w:r>
      <w:r>
        <w:rPr>
          <w:rFonts w:hint="eastAsia" w:ascii="仿宋_GB2312" w:hAnsi="仿宋_GB2312" w:eastAsia="仿宋_GB2312" w:cs="仿宋_GB2312"/>
          <w:color w:val="auto"/>
          <w:spacing w:val="-1"/>
          <w:w w:val="95"/>
          <w:sz w:val="32"/>
          <w:szCs w:val="32"/>
        </w:rPr>
        <w:t>双方应认真贯彻执行《自治区医疗保障局 自治区卫生健康委关于建立国家医保谈判药品</w:t>
      </w:r>
      <w:r>
        <w:rPr>
          <w:rFonts w:hint="eastAsia" w:ascii="仿宋_GB2312" w:hAnsi="仿宋_GB2312" w:eastAsia="仿宋_GB2312" w:cs="仿宋_GB2312"/>
          <w:color w:val="auto"/>
          <w:spacing w:val="-1"/>
          <w:w w:val="95"/>
          <w:sz w:val="32"/>
          <w:szCs w:val="32"/>
          <w:lang w:eastAsia="zh-CN"/>
        </w:rPr>
        <w:t>“双通道”管理</w:t>
      </w:r>
      <w:r>
        <w:rPr>
          <w:rFonts w:hint="eastAsia" w:ascii="仿宋_GB2312" w:hAnsi="仿宋_GB2312" w:eastAsia="仿宋_GB2312" w:cs="仿宋_GB2312"/>
          <w:color w:val="auto"/>
          <w:spacing w:val="-1"/>
          <w:w w:val="95"/>
          <w:sz w:val="32"/>
          <w:szCs w:val="32"/>
        </w:rPr>
        <w:t>机制的通知》（</w:t>
      </w:r>
      <w:r>
        <w:rPr>
          <w:rFonts w:hint="eastAsia" w:ascii="仿宋_GB2312" w:hAnsi="仿宋_GB2312" w:eastAsia="仿宋_GB2312" w:cs="仿宋_GB2312"/>
          <w:color w:val="auto"/>
          <w:spacing w:val="-1"/>
          <w:w w:val="95"/>
          <w:sz w:val="32"/>
          <w:szCs w:val="32"/>
          <w:lang w:val="en-US" w:eastAsia="zh-CN"/>
        </w:rPr>
        <w:t>宁医保发〔2021〕151 号</w:t>
      </w:r>
      <w:r>
        <w:rPr>
          <w:rFonts w:hint="eastAsia" w:ascii="仿宋_GB2312" w:hAnsi="仿宋_GB2312" w:eastAsia="仿宋_GB2312" w:cs="仿宋_GB2312"/>
          <w:color w:val="auto"/>
          <w:spacing w:val="-1"/>
          <w:w w:val="95"/>
          <w:sz w:val="32"/>
          <w:szCs w:val="32"/>
        </w:rPr>
        <w:t>）</w:t>
      </w:r>
      <w:r>
        <w:rPr>
          <w:rFonts w:hint="eastAsia" w:ascii="仿宋_GB2312" w:hAnsi="仿宋_GB2312" w:eastAsia="仿宋_GB2312" w:cs="仿宋_GB2312"/>
          <w:color w:val="auto"/>
          <w:w w:val="95"/>
          <w:sz w:val="32"/>
          <w:szCs w:val="32"/>
        </w:rPr>
        <w:t>等相关规定</w:t>
      </w:r>
      <w:r>
        <w:rPr>
          <w:rFonts w:hint="eastAsia" w:ascii="仿宋_GB2312" w:hAnsi="仿宋_GB2312" w:eastAsia="仿宋_GB2312" w:cs="仿宋_GB2312"/>
          <w:color w:val="auto"/>
          <w:spacing w:val="48"/>
          <w:w w:val="95"/>
          <w:sz w:val="32"/>
          <w:szCs w:val="32"/>
        </w:rPr>
        <w:t>，</w:t>
      </w:r>
      <w:r>
        <w:rPr>
          <w:rFonts w:hint="eastAsia" w:ascii="仿宋_GB2312" w:hAnsi="仿宋_GB2312" w:eastAsia="仿宋_GB2312" w:cs="仿宋_GB2312"/>
          <w:color w:val="auto"/>
          <w:w w:val="95"/>
          <w:sz w:val="32"/>
          <w:szCs w:val="32"/>
        </w:rPr>
        <w:t>并作为该协议的依据。</w:t>
      </w:r>
    </w:p>
    <w:p w14:paraId="1D22FD5F">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第二条 甲方的权力与义务</w:t>
      </w:r>
    </w:p>
    <w:p w14:paraId="4EBAE397">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1.及时向乙方宣传、解读医疗保险</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政策文件和调整情况；</w:t>
      </w:r>
    </w:p>
    <w:p w14:paraId="195A87EF">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2.按规定审核乙方申报的医疗费用，向乙方结算符合医疗保险</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支付范围的医疗费用，并每月预留乙方统筹基金支付总额的5%作为医疗服务质量保证金 ；</w:t>
      </w:r>
    </w:p>
    <w:p w14:paraId="583F0BE5">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3.以年度考核、日常巡查、专项检查、投诉调查、不定期抽查、委托第三方监管等多种方式对乙方的</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服务行为进行协议管理；</w:t>
      </w:r>
    </w:p>
    <w:p w14:paraId="6EB1BCCA">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4.协助乙方处理有关医疗保险其它事宜。</w:t>
      </w:r>
    </w:p>
    <w:p w14:paraId="1E3AD8ED">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第三条 乙方的权利与义务</w:t>
      </w:r>
    </w:p>
    <w:p w14:paraId="03E9B2B3">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1.严格遵守《中华人民共和国药品管理法》及相关法律法规，严格执行国家</w:t>
      </w:r>
      <w:r>
        <w:rPr>
          <w:rFonts w:hint="eastAsia" w:ascii="仿宋_GB2312" w:hAnsi="仿宋_GB2312" w:eastAsia="仿宋_GB2312" w:cs="仿宋_GB2312"/>
          <w:color w:val="auto"/>
          <w:w w:val="95"/>
          <w:sz w:val="32"/>
          <w:szCs w:val="32"/>
          <w:lang w:val="en-US" w:eastAsia="zh-CN"/>
        </w:rPr>
        <w:t>和自治区</w:t>
      </w:r>
      <w:r>
        <w:rPr>
          <w:rFonts w:hint="eastAsia" w:ascii="仿宋_GB2312" w:hAnsi="仿宋_GB2312" w:eastAsia="仿宋_GB2312" w:cs="仿宋_GB2312"/>
          <w:color w:val="auto"/>
          <w:w w:val="95"/>
          <w:sz w:val="32"/>
          <w:szCs w:val="32"/>
        </w:rPr>
        <w:t>医疗保险</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有关规定；</w:t>
      </w:r>
    </w:p>
    <w:p w14:paraId="1767C7D9">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2.在显要位置悬挂医疗保险</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定</w:t>
      </w:r>
      <w:r>
        <w:rPr>
          <w:rFonts w:hint="eastAsia" w:ascii="仿宋_GB2312" w:hAnsi="仿宋_GB2312" w:eastAsia="仿宋_GB2312" w:cs="仿宋_GB2312"/>
          <w:color w:val="auto"/>
          <w:w w:val="95"/>
          <w:sz w:val="32"/>
          <w:szCs w:val="32"/>
          <w:lang w:val="en-US" w:eastAsia="zh-CN"/>
        </w:rPr>
        <w:t>点医疗机构</w:t>
      </w:r>
      <w:r>
        <w:rPr>
          <w:rFonts w:hint="eastAsia" w:ascii="仿宋_GB2312" w:hAnsi="仿宋_GB2312" w:eastAsia="仿宋_GB2312" w:cs="仿宋_GB2312"/>
          <w:color w:val="auto"/>
          <w:w w:val="95"/>
          <w:sz w:val="32"/>
          <w:szCs w:val="32"/>
        </w:rPr>
        <w:t>标志牌，并在</w:t>
      </w:r>
      <w:r>
        <w:rPr>
          <w:rFonts w:hint="eastAsia" w:ascii="仿宋_GB2312" w:hAnsi="仿宋_GB2312" w:eastAsia="仿宋_GB2312" w:cs="仿宋_GB2312"/>
          <w:color w:val="auto"/>
          <w:w w:val="95"/>
          <w:sz w:val="32"/>
          <w:szCs w:val="32"/>
          <w:lang w:val="en-US" w:eastAsia="zh-CN"/>
        </w:rPr>
        <w:t>服务</w:t>
      </w:r>
      <w:r>
        <w:rPr>
          <w:rFonts w:hint="eastAsia" w:ascii="仿宋_GB2312" w:hAnsi="仿宋_GB2312" w:eastAsia="仿宋_GB2312" w:cs="仿宋_GB2312"/>
          <w:color w:val="auto"/>
          <w:w w:val="95"/>
          <w:sz w:val="32"/>
          <w:szCs w:val="32"/>
        </w:rPr>
        <w:t>场所设置专门的</w:t>
      </w:r>
      <w:r>
        <w:rPr>
          <w:rFonts w:hint="eastAsia" w:ascii="仿宋_GB2312" w:hAnsi="仿宋_GB2312" w:eastAsia="仿宋_GB2312" w:cs="仿宋_GB2312"/>
          <w:color w:val="auto"/>
          <w:w w:val="95"/>
          <w:sz w:val="32"/>
          <w:szCs w:val="32"/>
          <w:lang w:val="en-US" w:eastAsia="zh-CN"/>
        </w:rPr>
        <w:t>谈判药品门诊服务窗口、药品</w:t>
      </w:r>
      <w:r>
        <w:rPr>
          <w:rFonts w:hint="eastAsia" w:ascii="仿宋_GB2312" w:hAnsi="仿宋_GB2312" w:eastAsia="仿宋_GB2312" w:cs="仿宋_GB2312"/>
          <w:color w:val="auto"/>
          <w:w w:val="95"/>
          <w:sz w:val="32"/>
          <w:szCs w:val="32"/>
        </w:rPr>
        <w:t>仓储区、政策宣传栏，及时宣传</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有关政策规定，并做好咨询服务，方便参保人员</w:t>
      </w:r>
      <w:r>
        <w:rPr>
          <w:rFonts w:hint="eastAsia" w:ascii="仿宋_GB2312" w:hAnsi="仿宋_GB2312" w:eastAsia="仿宋_GB2312" w:cs="仿宋_GB2312"/>
          <w:color w:val="auto"/>
          <w:w w:val="95"/>
          <w:sz w:val="32"/>
          <w:szCs w:val="32"/>
          <w:lang w:val="en-US" w:eastAsia="zh-CN"/>
        </w:rPr>
        <w:t>门诊就医购药</w:t>
      </w:r>
      <w:r>
        <w:rPr>
          <w:rFonts w:hint="eastAsia" w:ascii="仿宋_GB2312" w:hAnsi="仿宋_GB2312" w:eastAsia="仿宋_GB2312" w:cs="仿宋_GB2312"/>
          <w:color w:val="auto"/>
          <w:w w:val="95"/>
          <w:sz w:val="32"/>
          <w:szCs w:val="32"/>
        </w:rPr>
        <w:t>；</w:t>
      </w:r>
    </w:p>
    <w:p w14:paraId="7F15F55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lang w:val="en-US" w:eastAsia="zh-CN"/>
        </w:rPr>
        <w:t>3</w:t>
      </w:r>
      <w:r>
        <w:rPr>
          <w:rFonts w:hint="eastAsia" w:ascii="仿宋_GB2312" w:hAnsi="仿宋_GB2312" w:eastAsia="仿宋_GB2312" w:cs="仿宋_GB2312"/>
          <w:color w:val="auto"/>
          <w:w w:val="95"/>
          <w:sz w:val="32"/>
          <w:szCs w:val="32"/>
        </w:rPr>
        <w:t>.严格执行</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管理制度，按规定存储</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w:t>
      </w:r>
    </w:p>
    <w:p w14:paraId="05F890C8">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lang w:val="en-US" w:eastAsia="zh-CN"/>
        </w:rPr>
        <w:t>4</w:t>
      </w:r>
      <w:r>
        <w:rPr>
          <w:rFonts w:hint="eastAsia" w:ascii="仿宋_GB2312" w:hAnsi="仿宋_GB2312" w:eastAsia="仿宋_GB2312" w:cs="仿宋_GB2312"/>
          <w:color w:val="auto"/>
          <w:w w:val="95"/>
          <w:sz w:val="32"/>
          <w:szCs w:val="32"/>
        </w:rPr>
        <w:t>.坚持合理收费，严格执行国家谈判药品价格；</w:t>
      </w:r>
    </w:p>
    <w:p w14:paraId="5EBA4BE8">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lang w:val="en-US" w:eastAsia="zh-CN"/>
        </w:rPr>
      </w:pP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rPr>
        <w:t>.根据医疗保险</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管理政策</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rPr>
        <w:t>建立完善的</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制度及</w:t>
      </w:r>
      <w:r>
        <w:rPr>
          <w:rFonts w:hint="eastAsia" w:ascii="仿宋_GB2312" w:hAnsi="仿宋_GB2312" w:eastAsia="仿宋_GB2312" w:cs="仿宋_GB2312"/>
          <w:color w:val="auto"/>
          <w:w w:val="95"/>
          <w:sz w:val="32"/>
          <w:szCs w:val="32"/>
          <w:lang w:val="en-US" w:eastAsia="zh-CN"/>
        </w:rPr>
        <w:t>院内处方审核流程；</w:t>
      </w:r>
    </w:p>
    <w:p w14:paraId="2918260F">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lang w:val="en-US" w:eastAsia="zh-CN"/>
        </w:rPr>
        <w:t>6.</w:t>
      </w:r>
      <w:r>
        <w:rPr>
          <w:rFonts w:hint="eastAsia" w:ascii="仿宋_GB2312" w:hAnsi="仿宋_GB2312" w:eastAsia="仿宋_GB2312" w:cs="仿宋_GB2312"/>
          <w:color w:val="auto"/>
          <w:w w:val="95"/>
          <w:sz w:val="32"/>
          <w:szCs w:val="32"/>
        </w:rPr>
        <w:t>配备医疗保险</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专职管理人员及具有药师资格的人员，配合甲方做好参保人员</w:t>
      </w:r>
      <w:r>
        <w:rPr>
          <w:rFonts w:hint="eastAsia" w:ascii="仿宋_GB2312" w:hAnsi="仿宋_GB2312" w:eastAsia="仿宋_GB2312" w:cs="仿宋_GB2312"/>
          <w:color w:val="auto"/>
          <w:w w:val="95"/>
          <w:sz w:val="32"/>
          <w:szCs w:val="32"/>
          <w:lang w:val="en-US" w:eastAsia="zh-CN"/>
        </w:rPr>
        <w:t>谈判药品</w:t>
      </w:r>
      <w:r>
        <w:rPr>
          <w:rFonts w:hint="eastAsia" w:ascii="仿宋_GB2312" w:hAnsi="仿宋_GB2312" w:eastAsia="仿宋_GB2312" w:cs="仿宋_GB2312"/>
          <w:color w:val="auto"/>
          <w:w w:val="95"/>
          <w:sz w:val="32"/>
          <w:szCs w:val="32"/>
        </w:rPr>
        <w:t>用药</w:t>
      </w:r>
      <w:r>
        <w:rPr>
          <w:rFonts w:hint="eastAsia" w:ascii="仿宋_GB2312" w:hAnsi="仿宋_GB2312" w:eastAsia="仿宋_GB2312" w:cs="仿宋_GB2312"/>
          <w:color w:val="auto"/>
          <w:w w:val="95"/>
          <w:sz w:val="32"/>
          <w:szCs w:val="32"/>
          <w:lang w:val="en-US" w:eastAsia="zh-CN"/>
        </w:rPr>
        <w:t>申请、处方审核</w:t>
      </w:r>
      <w:r>
        <w:rPr>
          <w:rFonts w:hint="eastAsia" w:ascii="仿宋_GB2312" w:hAnsi="仿宋_GB2312" w:eastAsia="仿宋_GB2312" w:cs="仿宋_GB2312"/>
          <w:color w:val="auto"/>
          <w:w w:val="95"/>
          <w:sz w:val="32"/>
          <w:szCs w:val="32"/>
        </w:rPr>
        <w:t>等事宜</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rPr>
        <w:t>为参保人员建立个人档案、完整记录</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使用信息，并按月做好信息汇总；</w:t>
      </w:r>
    </w:p>
    <w:p w14:paraId="3A2A900A">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7.配药时应认真核对参保人员身份信息、审批表及处方， 查验其相关资料信息是否相符、准确无误后再予以配药。因工作失误造成差错事故或引起矛盾纠纷的，责任由乙方承担。相关资籵、处方应妥善保存以备核查；</w:t>
      </w:r>
    </w:p>
    <w:p w14:paraId="6E838010">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8.无正当理由，不得拒绝参保人员购药需求，若认定处方信息有异议时，要告知参保人员，由原开具处方的医师修改后再予以配药；</w:t>
      </w:r>
    </w:p>
    <w:p w14:paraId="37507DE2">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9.具备监控设备，能够对</w:t>
      </w:r>
      <w:r>
        <w:rPr>
          <w:rFonts w:hint="eastAsia" w:ascii="仿宋_GB2312" w:hAnsi="仿宋_GB2312" w:eastAsia="仿宋_GB2312" w:cs="仿宋_GB2312"/>
          <w:color w:val="auto"/>
          <w:w w:val="95"/>
          <w:sz w:val="32"/>
          <w:szCs w:val="32"/>
          <w:lang w:val="en-US" w:eastAsia="zh-CN"/>
        </w:rPr>
        <w:t>配</w:t>
      </w:r>
      <w:r>
        <w:rPr>
          <w:rFonts w:hint="eastAsia" w:ascii="仿宋_GB2312" w:hAnsi="仿宋_GB2312" w:eastAsia="仿宋_GB2312" w:cs="仿宋_GB2312"/>
          <w:color w:val="auto"/>
          <w:w w:val="95"/>
          <w:sz w:val="32"/>
          <w:szCs w:val="32"/>
        </w:rPr>
        <w:t>药服务、收银结算行为实时监控；</w:t>
      </w:r>
    </w:p>
    <w:p w14:paraId="59934F5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10.与甲方</w:t>
      </w:r>
      <w:r>
        <w:rPr>
          <w:rFonts w:hint="eastAsia" w:ascii="仿宋_GB2312" w:hAnsi="仿宋_GB2312" w:eastAsia="仿宋_GB2312" w:cs="仿宋_GB2312"/>
          <w:color w:val="auto"/>
          <w:w w:val="95"/>
          <w:sz w:val="32"/>
          <w:szCs w:val="32"/>
          <w:lang w:val="en-US" w:eastAsia="zh-CN"/>
        </w:rPr>
        <w:t>医保</w:t>
      </w:r>
      <w:r>
        <w:rPr>
          <w:rFonts w:hint="eastAsia" w:ascii="仿宋_GB2312" w:hAnsi="仿宋_GB2312" w:eastAsia="仿宋_GB2312" w:cs="仿宋_GB2312"/>
          <w:color w:val="auto"/>
          <w:w w:val="95"/>
          <w:sz w:val="32"/>
          <w:szCs w:val="32"/>
        </w:rPr>
        <w:t>系统有效对接，实现数据实时动态管理，确保业务数据安全、准确、完整、规范；</w:t>
      </w:r>
    </w:p>
    <w:p w14:paraId="3168A6E4">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11.积极配合甲方医疗保险监督稽核工作，按甲方要求提供所需的信息系统数据和相关资籵。</w:t>
      </w:r>
    </w:p>
    <w:p w14:paraId="001C51FF">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第四条 经核实，乙方有下列情形之一的，根据情节，甲方有权对乙方做出约谈、限时整改、扣除或追回违约费用、扣除质量保证金、缓付费用、通报批评、暂停服务协议。</w:t>
      </w:r>
    </w:p>
    <w:p w14:paraId="689C168C">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1.未按本协议要求落实管理措施的；</w:t>
      </w:r>
    </w:p>
    <w:p w14:paraId="4A96E817">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2.违反价格政策，抬高相关药品零售价格，抽查同类同款药品价格高于国家谈判药品价格；</w:t>
      </w:r>
    </w:p>
    <w:p w14:paraId="2A536F8F">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lang w:val="en-US" w:eastAsia="zh-CN"/>
        </w:rPr>
      </w:pPr>
      <w:r>
        <w:rPr>
          <w:rFonts w:hint="eastAsia" w:ascii="仿宋_GB2312" w:hAnsi="仿宋_GB2312" w:eastAsia="仿宋_GB2312" w:cs="仿宋_GB2312"/>
          <w:color w:val="auto"/>
          <w:w w:val="95"/>
          <w:sz w:val="32"/>
          <w:szCs w:val="32"/>
          <w:lang w:val="en-US" w:eastAsia="zh-CN"/>
        </w:rPr>
        <w:t>3.拒绝向住院参保人员销售国家谈判药品，让其院外采购使用的；</w:t>
      </w:r>
    </w:p>
    <w:p w14:paraId="467B3A3E">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lang w:val="en-US" w:eastAsia="zh-CN"/>
        </w:rPr>
      </w:pPr>
      <w:r>
        <w:rPr>
          <w:rFonts w:hint="eastAsia" w:ascii="仿宋_GB2312" w:hAnsi="仿宋_GB2312" w:eastAsia="仿宋_GB2312" w:cs="仿宋_GB2312"/>
          <w:color w:val="auto"/>
          <w:w w:val="95"/>
          <w:sz w:val="32"/>
          <w:szCs w:val="32"/>
          <w:lang w:val="en-US" w:eastAsia="zh-CN"/>
        </w:rPr>
        <w:t>4.无正当理由，拒绝向参保人员提供门诊谈判药品服务的；</w:t>
      </w:r>
    </w:p>
    <w:p w14:paraId="4771D225">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lang w:eastAsia="zh-CN"/>
        </w:rPr>
      </w:pP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rPr>
        <w:t>.</w:t>
      </w:r>
      <w:r>
        <w:rPr>
          <w:rFonts w:hint="eastAsia" w:ascii="仿宋_GB2312" w:hAnsi="仿宋_GB2312" w:eastAsia="仿宋_GB2312" w:cs="仿宋_GB2312"/>
          <w:color w:val="auto"/>
          <w:w w:val="95"/>
          <w:sz w:val="32"/>
          <w:szCs w:val="32"/>
          <w:lang w:val="en-US" w:eastAsia="zh-CN"/>
        </w:rPr>
        <w:t>审核不严，向不符合谈判药品政策的患者开具谈判药品处方的；</w:t>
      </w:r>
    </w:p>
    <w:p w14:paraId="2A6E56E3">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6.违反医疗保险其它政策规定的。</w:t>
      </w:r>
    </w:p>
    <w:p w14:paraId="317561EE">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第五条  乙方发生下列情形之一的，甲方可在第四条处理的基础上对乙方作出终止</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服务协议等处理。</w:t>
      </w:r>
    </w:p>
    <w:p w14:paraId="4D384CBA">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1.违反第四条相关规定，在整改期内或在半年内仍然存在相关问题整改不到位或拒绝整改的；</w:t>
      </w:r>
    </w:p>
    <w:p w14:paraId="777785A9">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2.伪造虚假凭证或串通参保人员骗取医保基金的；</w:t>
      </w:r>
    </w:p>
    <w:p w14:paraId="55F87D97">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3.将</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目录范围外的药品或其他商品按照</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目录申报医保结算的；</w:t>
      </w:r>
    </w:p>
    <w:p w14:paraId="1CCE4A6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4.拒绝、阻挠或不配合甲方开展必要监督检查的；</w:t>
      </w:r>
    </w:p>
    <w:p w14:paraId="34A52019">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rPr>
        <w:t>.因违反</w:t>
      </w:r>
      <w:r>
        <w:rPr>
          <w:rFonts w:hint="eastAsia" w:ascii="仿宋_GB2312" w:hAnsi="仿宋_GB2312" w:eastAsia="仿宋_GB2312" w:cs="仿宋_GB2312"/>
          <w:color w:val="auto"/>
          <w:w w:val="95"/>
          <w:sz w:val="32"/>
          <w:szCs w:val="32"/>
          <w:lang w:val="en-US" w:eastAsia="zh-CN"/>
        </w:rPr>
        <w:t>自治区</w:t>
      </w:r>
      <w:r>
        <w:rPr>
          <w:rFonts w:hint="eastAsia" w:ascii="仿宋_GB2312" w:hAnsi="仿宋_GB2312" w:eastAsia="仿宋_GB2312" w:cs="仿宋_GB2312"/>
          <w:color w:val="auto"/>
          <w:w w:val="95"/>
          <w:sz w:val="32"/>
          <w:szCs w:val="32"/>
        </w:rPr>
        <w:t>医疗保险规定</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rPr>
        <w:t>被新闻媒体曝光造成不良社会影响的；</w:t>
      </w:r>
    </w:p>
    <w:p w14:paraId="13DAB65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lang w:val="en-US" w:eastAsia="zh-CN"/>
        </w:rPr>
        <w:t>6</w:t>
      </w:r>
      <w:r>
        <w:rPr>
          <w:rFonts w:hint="eastAsia" w:ascii="仿宋_GB2312" w:hAnsi="仿宋_GB2312" w:eastAsia="仿宋_GB2312" w:cs="仿宋_GB2312"/>
          <w:color w:val="auto"/>
          <w:w w:val="95"/>
          <w:sz w:val="32"/>
          <w:szCs w:val="32"/>
        </w:rPr>
        <w:t>.其他造成严重后果或重大影</w:t>
      </w:r>
      <w:r>
        <w:rPr>
          <w:rFonts w:hint="eastAsia" w:ascii="仿宋_GB2312" w:hAnsi="仿宋_GB2312" w:eastAsia="仿宋_GB2312" w:cs="仿宋_GB2312"/>
          <w:color w:val="auto"/>
          <w:w w:val="95"/>
          <w:sz w:val="32"/>
          <w:szCs w:val="32"/>
          <w:lang w:val="en-US" w:eastAsia="zh-CN"/>
        </w:rPr>
        <w:t>响</w:t>
      </w:r>
      <w:r>
        <w:rPr>
          <w:rFonts w:hint="eastAsia" w:ascii="仿宋_GB2312" w:hAnsi="仿宋_GB2312" w:eastAsia="仿宋_GB2312" w:cs="仿宋_GB2312"/>
          <w:color w:val="auto"/>
          <w:w w:val="95"/>
          <w:sz w:val="32"/>
          <w:szCs w:val="32"/>
        </w:rPr>
        <w:t>的违约行为。</w:t>
      </w:r>
    </w:p>
    <w:p w14:paraId="51AECE15">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第六条  甲方在监督检查和年终考核评估中发现乙方有以下   情形之一的，将实行退出机制。</w:t>
      </w:r>
    </w:p>
    <w:p w14:paraId="02351FFD">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1.乙方名称、注册地址等信息发生变更，在主管部门办理变更手续后，30个工作日内未在甲方办理变更手续的；</w:t>
      </w:r>
    </w:p>
    <w:p w14:paraId="7D8E404F">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2.基础设施、服务能力不符合</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定点资格条件的；</w:t>
      </w:r>
    </w:p>
    <w:p w14:paraId="20AB65A7">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3.上年度无</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业务或</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业务少于10人的；</w:t>
      </w:r>
    </w:p>
    <w:p w14:paraId="0E954043">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4.因搬迁、撤销、关闭等原因</w:t>
      </w:r>
      <w:r>
        <w:rPr>
          <w:rFonts w:hint="eastAsia" w:ascii="仿宋_GB2312" w:hAnsi="仿宋_GB2312" w:eastAsia="仿宋_GB2312" w:cs="仿宋_GB2312"/>
          <w:color w:val="auto"/>
          <w:w w:val="95"/>
          <w:sz w:val="32"/>
          <w:szCs w:val="32"/>
          <w:lang w:val="en-US" w:eastAsia="zh-CN"/>
        </w:rPr>
        <w:t>不</w:t>
      </w:r>
      <w:r>
        <w:rPr>
          <w:rFonts w:hint="eastAsia" w:ascii="仿宋_GB2312" w:hAnsi="仿宋_GB2312" w:eastAsia="仿宋_GB2312" w:cs="仿宋_GB2312"/>
          <w:color w:val="auto"/>
          <w:w w:val="95"/>
          <w:sz w:val="32"/>
          <w:szCs w:val="32"/>
        </w:rPr>
        <w:t>能为参保人员提供医保服务 6个月以上的。</w:t>
      </w:r>
    </w:p>
    <w:p w14:paraId="13BFD197">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第七条  本协议自</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年</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月</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日至</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年</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月</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日有效。一式二份，由甲乙双方各执一份，双方签字盖章后生效。</w:t>
      </w:r>
    </w:p>
    <w:p w14:paraId="2D2B00ED">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w w:val="95"/>
          <w:sz w:val="32"/>
          <w:szCs w:val="32"/>
        </w:rPr>
      </w:pPr>
    </w:p>
    <w:p w14:paraId="5134F7D8">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 xml:space="preserve">甲方（盖章）：                 </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乙方（盖章）：</w:t>
      </w:r>
    </w:p>
    <w:p w14:paraId="70FB8D35">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p>
    <w:p w14:paraId="7839A02F">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p>
    <w:p w14:paraId="1F883368">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 xml:space="preserve">法人代表：                    </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法人代表：</w:t>
      </w:r>
    </w:p>
    <w:p w14:paraId="22D4169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p>
    <w:p w14:paraId="28A4F908">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p>
    <w:p w14:paraId="205DAC7D">
      <w:pPr>
        <w:keepNext w:val="0"/>
        <w:keepLines w:val="0"/>
        <w:pageBreakBefore w:val="0"/>
        <w:kinsoku/>
        <w:wordWrap/>
        <w:overflowPunct/>
        <w:topLinePunct w:val="0"/>
        <w:autoSpaceDE/>
        <w:autoSpaceDN/>
        <w:bidi w:val="0"/>
        <w:spacing w:line="560" w:lineRule="exact"/>
        <w:ind w:firstLine="1216" w:firstLineChars="400"/>
        <w:jc w:val="both"/>
        <w:textAlignment w:val="auto"/>
        <w:rPr>
          <w:rFonts w:ascii="宋体" w:hAnsi="宋体" w:eastAsia="宋体"/>
          <w:color w:val="auto"/>
          <w:w w:val="95"/>
          <w:sz w:val="32"/>
          <w:szCs w:val="32"/>
        </w:rPr>
      </w:pPr>
      <w:r>
        <w:rPr>
          <w:rFonts w:hint="eastAsia" w:ascii="仿宋_GB2312" w:hAnsi="仿宋_GB2312" w:eastAsia="仿宋_GB2312" w:cs="仿宋_GB2312"/>
          <w:color w:val="auto"/>
          <w:w w:val="95"/>
          <w:sz w:val="32"/>
          <w:szCs w:val="32"/>
        </w:rPr>
        <w:t>年  月  日                     年  月  日</w:t>
      </w:r>
    </w:p>
    <w:p w14:paraId="41045A6C">
      <w:pPr>
        <w:autoSpaceDE w:val="0"/>
        <w:autoSpaceDN w:val="0"/>
        <w:spacing w:line="700" w:lineRule="exact"/>
        <w:jc w:val="left"/>
        <w:rPr>
          <w:rFonts w:hint="eastAsia" w:ascii="仿宋_GB2312" w:hAnsi="宋体" w:eastAsia="仿宋_GB2312"/>
          <w:color w:val="000000"/>
          <w:sz w:val="24"/>
          <w:szCs w:val="24"/>
          <w:lang w:val="zh-CN"/>
        </w:rPr>
      </w:pPr>
    </w:p>
    <w:p w14:paraId="0F512788">
      <w:pPr>
        <w:autoSpaceDE w:val="0"/>
        <w:autoSpaceDN w:val="0"/>
        <w:spacing w:line="700" w:lineRule="exact"/>
        <w:jc w:val="left"/>
        <w:rPr>
          <w:rFonts w:hint="eastAsia" w:ascii="仿宋_GB2312" w:hAnsi="宋体" w:eastAsia="仿宋_GB2312"/>
          <w:color w:val="000000"/>
          <w:sz w:val="24"/>
          <w:szCs w:val="24"/>
          <w:lang w:val="zh-CN"/>
        </w:rPr>
      </w:pPr>
    </w:p>
    <w:p w14:paraId="137F26FF">
      <w:pPr>
        <w:autoSpaceDE w:val="0"/>
        <w:autoSpaceDN w:val="0"/>
        <w:spacing w:line="700" w:lineRule="exact"/>
        <w:jc w:val="left"/>
        <w:rPr>
          <w:rFonts w:hint="eastAsia" w:ascii="仿宋_GB2312" w:hAnsi="宋体" w:eastAsia="仿宋_GB2312"/>
          <w:color w:val="000000"/>
          <w:sz w:val="24"/>
          <w:szCs w:val="24"/>
          <w:lang w:val="zh-CN"/>
        </w:rPr>
      </w:pPr>
    </w:p>
    <w:p w14:paraId="0274F4EF">
      <w:pPr>
        <w:autoSpaceDE w:val="0"/>
        <w:autoSpaceDN w:val="0"/>
        <w:spacing w:line="700" w:lineRule="exact"/>
        <w:jc w:val="left"/>
        <w:rPr>
          <w:rFonts w:hint="eastAsia" w:ascii="仿宋_GB2312" w:hAnsi="宋体" w:eastAsia="仿宋_GB2312"/>
          <w:color w:val="000000"/>
          <w:sz w:val="24"/>
          <w:szCs w:val="24"/>
          <w:lang w:val="zh-CN"/>
        </w:rPr>
      </w:pPr>
    </w:p>
    <w:p w14:paraId="747CC514">
      <w:pPr>
        <w:autoSpaceDE w:val="0"/>
        <w:autoSpaceDN w:val="0"/>
        <w:spacing w:line="700" w:lineRule="exact"/>
        <w:jc w:val="left"/>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6</w:t>
      </w:r>
      <w:r>
        <w:rPr>
          <w:rFonts w:hint="eastAsia" w:ascii="黑体" w:hAnsi="黑体" w:eastAsia="黑体" w:cs="黑体"/>
          <w:color w:val="000000"/>
          <w:sz w:val="32"/>
          <w:szCs w:val="32"/>
          <w:lang w:val="zh-CN"/>
        </w:rPr>
        <w:t>：</w:t>
      </w:r>
    </w:p>
    <w:p w14:paraId="48659569">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方正小标宋简体" w:hAnsi="方正小标宋简体" w:eastAsia="方正小标宋简体" w:cs="方正小标宋简体"/>
          <w:color w:val="auto"/>
          <w:kern w:val="0"/>
          <w:sz w:val="52"/>
          <w:szCs w:val="52"/>
        </w:rPr>
      </w:pPr>
    </w:p>
    <w:p w14:paraId="703C82AB">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kern w:val="0"/>
          <w:sz w:val="44"/>
          <w:szCs w:val="44"/>
          <w:lang w:val="en-US" w:eastAsia="zh-CN"/>
        </w:rPr>
        <w:t>谈判药品定点零售药店</w:t>
      </w:r>
      <w:r>
        <w:rPr>
          <w:rFonts w:hint="eastAsia" w:ascii="方正小标宋简体" w:hAnsi="方正小标宋简体" w:eastAsia="方正小标宋简体" w:cs="方正小标宋简体"/>
          <w:color w:val="auto"/>
          <w:sz w:val="44"/>
          <w:szCs w:val="44"/>
          <w:highlight w:val="none"/>
          <w:lang w:val="en-US" w:eastAsia="zh-CN"/>
        </w:rPr>
        <w:t>医疗保险</w:t>
      </w:r>
    </w:p>
    <w:p w14:paraId="07B5E647">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服务补充协议</w:t>
      </w:r>
    </w:p>
    <w:p w14:paraId="2D164F40">
      <w:pPr>
        <w:keepNext w:val="0"/>
        <w:keepLines w:val="0"/>
        <w:pageBreakBefore w:val="0"/>
        <w:kinsoku/>
        <w:wordWrap/>
        <w:overflowPunct/>
        <w:topLinePunct w:val="0"/>
        <w:autoSpaceDE/>
        <w:autoSpaceDN/>
        <w:bidi w:val="0"/>
        <w:spacing w:line="560" w:lineRule="exact"/>
        <w:textAlignment w:val="auto"/>
        <w:rPr>
          <w:rFonts w:ascii="宋体" w:hAnsi="宋体" w:eastAsia="宋体"/>
          <w:color w:val="auto"/>
          <w:sz w:val="36"/>
          <w:szCs w:val="36"/>
        </w:rPr>
      </w:pPr>
    </w:p>
    <w:p w14:paraId="5D840057">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6"/>
          <w:szCs w:val="36"/>
        </w:rPr>
      </w:pPr>
    </w:p>
    <w:p w14:paraId="53079F38">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甲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u w:val="single"/>
        </w:rPr>
        <w:t xml:space="preserve">                                                     </w:t>
      </w:r>
    </w:p>
    <w:p w14:paraId="1C110E2C">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法定代表人或委托代理人：</w:t>
      </w:r>
      <w:r>
        <w:rPr>
          <w:rFonts w:hint="eastAsia" w:ascii="仿宋_GB2312" w:hAnsi="仿宋_GB2312" w:eastAsia="仿宋_GB2312" w:cs="仿宋_GB2312"/>
          <w:color w:val="auto"/>
          <w:sz w:val="32"/>
          <w:szCs w:val="32"/>
          <w:u w:val="single"/>
        </w:rPr>
        <w:t xml:space="preserve">                                </w:t>
      </w:r>
    </w:p>
    <w:p w14:paraId="7272DAD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地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z w:val="32"/>
          <w:szCs w:val="32"/>
          <w:u w:val="single"/>
        </w:rPr>
        <w:t xml:space="preserve">                                                   </w:t>
      </w:r>
    </w:p>
    <w:p w14:paraId="2F5350FC">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14:paraId="7C8DC83B">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p>
    <w:p w14:paraId="16A6C361">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p>
    <w:p w14:paraId="180C84BF">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乙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方：</w:t>
      </w:r>
      <w:r>
        <w:rPr>
          <w:rFonts w:hint="eastAsia" w:ascii="仿宋_GB2312" w:hAnsi="仿宋_GB2312" w:eastAsia="仿宋_GB2312" w:cs="仿宋_GB2312"/>
          <w:color w:val="auto"/>
          <w:sz w:val="32"/>
          <w:szCs w:val="32"/>
          <w:u w:val="single"/>
        </w:rPr>
        <w:t xml:space="preserve">                                                     </w:t>
      </w:r>
    </w:p>
    <w:p w14:paraId="353C9EA3">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法定代表人或委托代理人：</w:t>
      </w:r>
      <w:r>
        <w:rPr>
          <w:rFonts w:hint="eastAsia" w:ascii="仿宋_GB2312" w:hAnsi="仿宋_GB2312" w:eastAsia="仿宋_GB2312" w:cs="仿宋_GB2312"/>
          <w:color w:val="auto"/>
          <w:sz w:val="32"/>
          <w:szCs w:val="32"/>
          <w:u w:val="single"/>
        </w:rPr>
        <w:t xml:space="preserve">                                    </w:t>
      </w:r>
    </w:p>
    <w:p w14:paraId="3E86B597">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地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址：</w:t>
      </w:r>
      <w:r>
        <w:rPr>
          <w:rFonts w:hint="eastAsia" w:ascii="仿宋_GB2312" w:hAnsi="仿宋_GB2312" w:eastAsia="仿宋_GB2312" w:cs="仿宋_GB2312"/>
          <w:color w:val="auto"/>
          <w:sz w:val="32"/>
          <w:szCs w:val="32"/>
          <w:u w:val="single"/>
        </w:rPr>
        <w:t xml:space="preserve">                                                    </w:t>
      </w:r>
    </w:p>
    <w:p w14:paraId="53C738A0">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零售药店编码：</w:t>
      </w:r>
      <w:r>
        <w:rPr>
          <w:rFonts w:hint="eastAsia" w:ascii="仿宋_GB2312" w:hAnsi="仿宋_GB2312" w:eastAsia="仿宋_GB2312" w:cs="仿宋_GB2312"/>
          <w:color w:val="auto"/>
          <w:sz w:val="32"/>
          <w:szCs w:val="32"/>
          <w:u w:val="single"/>
        </w:rPr>
        <w:t xml:space="preserve">                                              </w:t>
      </w:r>
    </w:p>
    <w:p w14:paraId="6BB1E00E">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rPr>
        <w:t xml:space="preserve">                                               </w:t>
      </w:r>
    </w:p>
    <w:p w14:paraId="19B9B84D">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6"/>
          <w:szCs w:val="36"/>
        </w:rPr>
      </w:pPr>
    </w:p>
    <w:p w14:paraId="5A28CAF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6"/>
          <w:szCs w:val="36"/>
        </w:rPr>
      </w:pPr>
    </w:p>
    <w:p w14:paraId="52E7B7C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6"/>
          <w:szCs w:val="36"/>
        </w:rPr>
      </w:pPr>
    </w:p>
    <w:p w14:paraId="560EFA30">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宁夏回族自治区医疗保障局制</w:t>
      </w:r>
    </w:p>
    <w:p w14:paraId="106963D7">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0"/>
          <w:szCs w:val="30"/>
        </w:rPr>
        <w:sectPr>
          <w:footerReference r:id="rId7" w:type="first"/>
          <w:footerReference r:id="rId6" w:type="default"/>
          <w:pgSz w:w="11906" w:h="16838"/>
          <w:pgMar w:top="1418" w:right="1385" w:bottom="1418" w:left="1701" w:header="851" w:footer="992" w:gutter="0"/>
          <w:pgNumType w:fmt="decimal"/>
          <w:cols w:space="720" w:num="1"/>
          <w:docGrid w:linePitch="312" w:charSpace="0"/>
        </w:sect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w:t>
      </w:r>
    </w:p>
    <w:p w14:paraId="384FC60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p>
    <w:p w14:paraId="69721754">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kern w:val="0"/>
          <w:sz w:val="44"/>
          <w:szCs w:val="44"/>
          <w:lang w:val="en-US" w:eastAsia="zh-CN"/>
        </w:rPr>
        <w:t>谈判药品定点零售药店</w:t>
      </w:r>
      <w:r>
        <w:rPr>
          <w:rFonts w:hint="eastAsia" w:ascii="方正小标宋简体" w:hAnsi="方正小标宋简体" w:eastAsia="方正小标宋简体" w:cs="方正小标宋简体"/>
          <w:color w:val="auto"/>
          <w:sz w:val="44"/>
          <w:szCs w:val="44"/>
          <w:highlight w:val="none"/>
          <w:lang w:val="en-US" w:eastAsia="zh-CN"/>
        </w:rPr>
        <w:t>医疗保险</w:t>
      </w:r>
    </w:p>
    <w:p w14:paraId="688B6BB7">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服务补充协议</w:t>
      </w:r>
    </w:p>
    <w:p w14:paraId="5E6ECE98">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44"/>
          <w:szCs w:val="44"/>
          <w:highlight w:val="none"/>
          <w:lang w:val="en-US" w:eastAsia="zh-CN"/>
        </w:rPr>
      </w:pPr>
    </w:p>
    <w:p w14:paraId="0E8A7554">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p>
    <w:p w14:paraId="745307DF">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14:paraId="580543DD">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14:paraId="5621A758">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p>
    <w:p w14:paraId="631D1D84">
      <w:pPr>
        <w:keepNext w:val="0"/>
        <w:keepLines w:val="0"/>
        <w:pageBreakBefore w:val="0"/>
        <w:kinsoku/>
        <w:wordWrap/>
        <w:overflowPunct/>
        <w:topLinePunct w:val="0"/>
        <w:autoSpaceDE/>
        <w:autoSpaceDN/>
        <w:bidi w:val="0"/>
        <w:spacing w:line="560" w:lineRule="exact"/>
        <w:ind w:firstLine="604" w:firstLineChars="200"/>
        <w:jc w:val="both"/>
        <w:textAlignment w:val="auto"/>
        <w:rPr>
          <w:rFonts w:hint="eastAsia" w:ascii="仿宋_GB2312" w:hAnsi="仿宋_GB2312" w:eastAsia="仿宋_GB2312" w:cs="仿宋_GB2312"/>
          <w:color w:val="auto"/>
          <w:spacing w:val="-1"/>
          <w:w w:val="95"/>
          <w:sz w:val="32"/>
          <w:szCs w:val="32"/>
        </w:rPr>
      </w:pPr>
      <w:r>
        <w:rPr>
          <w:rFonts w:hint="eastAsia" w:ascii="仿宋_GB2312" w:hAnsi="仿宋_GB2312" w:eastAsia="仿宋_GB2312" w:cs="仿宋_GB2312"/>
          <w:color w:val="auto"/>
          <w:spacing w:val="-1"/>
          <w:w w:val="95"/>
          <w:sz w:val="32"/>
          <w:szCs w:val="32"/>
        </w:rPr>
        <w:t>为规范医疗保险</w:t>
      </w:r>
      <w:r>
        <w:rPr>
          <w:rFonts w:hint="eastAsia" w:ascii="仿宋_GB2312" w:hAnsi="仿宋_GB2312" w:eastAsia="仿宋_GB2312" w:cs="仿宋_GB2312"/>
          <w:color w:val="auto"/>
          <w:spacing w:val="-1"/>
          <w:w w:val="95"/>
          <w:sz w:val="32"/>
          <w:szCs w:val="32"/>
          <w:lang w:val="en-US" w:eastAsia="zh-CN"/>
        </w:rPr>
        <w:t>谈判</w:t>
      </w:r>
      <w:r>
        <w:rPr>
          <w:rFonts w:hint="eastAsia" w:ascii="仿宋_GB2312" w:hAnsi="仿宋_GB2312" w:eastAsia="仿宋_GB2312" w:cs="仿宋_GB2312"/>
          <w:color w:val="auto"/>
          <w:spacing w:val="-1"/>
          <w:w w:val="95"/>
          <w:sz w:val="32"/>
          <w:szCs w:val="32"/>
        </w:rPr>
        <w:t>药品管理，保障重特大疾病患者用药需求，根据</w:t>
      </w:r>
      <w:r>
        <w:rPr>
          <w:rFonts w:hint="eastAsia" w:ascii="仿宋_GB2312" w:hAnsi="仿宋_GB2312" w:eastAsia="仿宋_GB2312" w:cs="仿宋_GB2312"/>
          <w:color w:val="auto"/>
          <w:spacing w:val="-1"/>
          <w:w w:val="95"/>
          <w:sz w:val="32"/>
          <w:szCs w:val="32"/>
          <w:lang w:val="en-US" w:eastAsia="zh-CN"/>
        </w:rPr>
        <w:t>谈判药品</w:t>
      </w:r>
      <w:r>
        <w:rPr>
          <w:rFonts w:hint="eastAsia" w:ascii="仿宋_GB2312" w:hAnsi="仿宋_GB2312" w:eastAsia="仿宋_GB2312" w:cs="仿宋_GB2312"/>
          <w:color w:val="auto"/>
          <w:spacing w:val="-1"/>
          <w:w w:val="95"/>
          <w:sz w:val="32"/>
          <w:szCs w:val="32"/>
        </w:rPr>
        <w:t>政策的有关规定，甲方确认乙方为我</w:t>
      </w:r>
      <w:r>
        <w:rPr>
          <w:rFonts w:hint="eastAsia" w:ascii="仿宋_GB2312" w:hAnsi="仿宋_GB2312" w:eastAsia="仿宋_GB2312" w:cs="仿宋_GB2312"/>
          <w:color w:val="auto"/>
          <w:spacing w:val="-1"/>
          <w:w w:val="95"/>
          <w:sz w:val="32"/>
          <w:szCs w:val="32"/>
          <w:lang w:val="en-US" w:eastAsia="zh-CN"/>
        </w:rPr>
        <w:t>区</w:t>
      </w:r>
      <w:r>
        <w:rPr>
          <w:rFonts w:hint="eastAsia" w:ascii="仿宋_GB2312" w:hAnsi="仿宋_GB2312" w:eastAsia="仿宋_GB2312" w:cs="仿宋_GB2312"/>
          <w:color w:val="auto"/>
          <w:spacing w:val="-1"/>
          <w:w w:val="95"/>
          <w:sz w:val="32"/>
          <w:szCs w:val="32"/>
        </w:rPr>
        <w:t>医疗保险</w:t>
      </w:r>
      <w:r>
        <w:rPr>
          <w:rFonts w:hint="eastAsia" w:ascii="仿宋_GB2312" w:hAnsi="仿宋_GB2312" w:eastAsia="仿宋_GB2312" w:cs="仿宋_GB2312"/>
          <w:color w:val="auto"/>
          <w:spacing w:val="-1"/>
          <w:w w:val="95"/>
          <w:sz w:val="32"/>
          <w:szCs w:val="32"/>
          <w:lang w:val="en-US" w:eastAsia="zh-CN"/>
        </w:rPr>
        <w:t>谈判药品</w:t>
      </w:r>
      <w:r>
        <w:rPr>
          <w:rFonts w:hint="eastAsia" w:ascii="仿宋_GB2312" w:hAnsi="仿宋_GB2312" w:eastAsia="仿宋_GB2312" w:cs="仿宋_GB2312"/>
          <w:color w:val="auto"/>
          <w:spacing w:val="-1"/>
          <w:w w:val="95"/>
          <w:sz w:val="32"/>
          <w:szCs w:val="32"/>
        </w:rPr>
        <w:t>定点零售药店，在原</w:t>
      </w:r>
      <w:r>
        <w:rPr>
          <w:rFonts w:hint="eastAsia" w:ascii="仿宋_GB2312" w:hAnsi="仿宋_GB2312" w:eastAsia="仿宋_GB2312" w:cs="仿宋_GB2312"/>
          <w:color w:val="auto"/>
          <w:spacing w:val="-1"/>
          <w:w w:val="95"/>
          <w:sz w:val="32"/>
          <w:szCs w:val="32"/>
          <w:lang w:val="en-US" w:eastAsia="zh-CN"/>
        </w:rPr>
        <w:t>定点零售药店《医疗保险服务协议》</w:t>
      </w:r>
      <w:r>
        <w:rPr>
          <w:rFonts w:hint="eastAsia" w:ascii="仿宋_GB2312" w:hAnsi="仿宋_GB2312" w:eastAsia="仿宋_GB2312" w:cs="仿宋_GB2312"/>
          <w:color w:val="auto"/>
          <w:spacing w:val="-1"/>
          <w:w w:val="95"/>
          <w:sz w:val="32"/>
          <w:szCs w:val="32"/>
        </w:rPr>
        <w:t>基础上，本着甲乙双方自愿的原则，</w:t>
      </w:r>
      <w:r>
        <w:rPr>
          <w:rFonts w:hint="eastAsia" w:ascii="仿宋_GB2312" w:hAnsi="仿宋_GB2312" w:eastAsia="仿宋_GB2312" w:cs="仿宋_GB2312"/>
          <w:color w:val="auto"/>
          <w:spacing w:val="-1"/>
          <w:w w:val="95"/>
          <w:sz w:val="32"/>
          <w:szCs w:val="32"/>
          <w:lang w:val="en-US" w:eastAsia="zh-CN"/>
        </w:rPr>
        <w:t>就谈判药品</w:t>
      </w:r>
      <w:r>
        <w:rPr>
          <w:rFonts w:hint="eastAsia" w:ascii="仿宋_GB2312" w:hAnsi="仿宋_GB2312" w:eastAsia="仿宋_GB2312" w:cs="仿宋_GB2312"/>
          <w:color w:val="auto"/>
          <w:spacing w:val="3"/>
          <w:sz w:val="32"/>
          <w:szCs w:val="32"/>
        </w:rPr>
        <w:t>相关事宜</w:t>
      </w:r>
      <w:r>
        <w:rPr>
          <w:rFonts w:hint="eastAsia" w:ascii="仿宋_GB2312" w:hAnsi="仿宋_GB2312" w:eastAsia="仿宋_GB2312" w:cs="仿宋_GB2312"/>
          <w:color w:val="auto"/>
          <w:spacing w:val="-1"/>
          <w:w w:val="95"/>
          <w:sz w:val="32"/>
          <w:szCs w:val="32"/>
        </w:rPr>
        <w:t>签订如下补充协议：</w:t>
      </w:r>
    </w:p>
    <w:p w14:paraId="7E38F094">
      <w:pPr>
        <w:keepNext w:val="0"/>
        <w:keepLines w:val="0"/>
        <w:pageBreakBefore w:val="0"/>
        <w:numPr>
          <w:ilvl w:val="0"/>
          <w:numId w:val="4"/>
        </w:numPr>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甲乙</w:t>
      </w:r>
      <w:r>
        <w:rPr>
          <w:rFonts w:hint="eastAsia" w:ascii="仿宋_GB2312" w:hAnsi="仿宋_GB2312" w:eastAsia="仿宋_GB2312" w:cs="仿宋_GB2312"/>
          <w:color w:val="auto"/>
          <w:spacing w:val="-1"/>
          <w:w w:val="95"/>
          <w:sz w:val="32"/>
          <w:szCs w:val="32"/>
        </w:rPr>
        <w:t>双方应认真贯彻执行《自治区医疗保障局 自治区卫生健康委关于建立国家医保谈判药品</w:t>
      </w:r>
      <w:r>
        <w:rPr>
          <w:rFonts w:hint="eastAsia" w:ascii="仿宋_GB2312" w:hAnsi="仿宋_GB2312" w:eastAsia="仿宋_GB2312" w:cs="仿宋_GB2312"/>
          <w:color w:val="auto"/>
          <w:spacing w:val="-1"/>
          <w:w w:val="95"/>
          <w:sz w:val="32"/>
          <w:szCs w:val="32"/>
          <w:lang w:eastAsia="zh-CN"/>
        </w:rPr>
        <w:t>“双通道”管理</w:t>
      </w:r>
      <w:r>
        <w:rPr>
          <w:rFonts w:hint="eastAsia" w:ascii="仿宋_GB2312" w:hAnsi="仿宋_GB2312" w:eastAsia="仿宋_GB2312" w:cs="仿宋_GB2312"/>
          <w:color w:val="auto"/>
          <w:spacing w:val="-1"/>
          <w:w w:val="95"/>
          <w:sz w:val="32"/>
          <w:szCs w:val="32"/>
        </w:rPr>
        <w:t>机制的通知》（</w:t>
      </w:r>
      <w:r>
        <w:rPr>
          <w:rFonts w:hint="eastAsia" w:ascii="仿宋_GB2312" w:hAnsi="仿宋_GB2312" w:eastAsia="仿宋_GB2312" w:cs="仿宋_GB2312"/>
          <w:color w:val="auto"/>
          <w:spacing w:val="-1"/>
          <w:w w:val="95"/>
          <w:sz w:val="32"/>
          <w:szCs w:val="32"/>
          <w:lang w:val="en-US" w:eastAsia="zh-CN"/>
        </w:rPr>
        <w:t>宁医保发〔2021〕151 号</w:t>
      </w:r>
      <w:r>
        <w:rPr>
          <w:rFonts w:hint="eastAsia" w:ascii="仿宋_GB2312" w:hAnsi="仿宋_GB2312" w:eastAsia="仿宋_GB2312" w:cs="仿宋_GB2312"/>
          <w:color w:val="auto"/>
          <w:spacing w:val="-1"/>
          <w:w w:val="95"/>
          <w:sz w:val="32"/>
          <w:szCs w:val="32"/>
        </w:rPr>
        <w:t>）</w:t>
      </w:r>
      <w:r>
        <w:rPr>
          <w:rFonts w:hint="eastAsia" w:ascii="仿宋_GB2312" w:hAnsi="仿宋_GB2312" w:eastAsia="仿宋_GB2312" w:cs="仿宋_GB2312"/>
          <w:color w:val="auto"/>
          <w:w w:val="95"/>
          <w:sz w:val="32"/>
          <w:szCs w:val="32"/>
        </w:rPr>
        <w:t>等相关规定</w:t>
      </w:r>
      <w:r>
        <w:rPr>
          <w:rFonts w:hint="eastAsia" w:ascii="仿宋_GB2312" w:hAnsi="仿宋_GB2312" w:eastAsia="仿宋_GB2312" w:cs="仿宋_GB2312"/>
          <w:color w:val="auto"/>
          <w:spacing w:val="48"/>
          <w:w w:val="95"/>
          <w:sz w:val="32"/>
          <w:szCs w:val="32"/>
        </w:rPr>
        <w:t>，</w:t>
      </w:r>
      <w:r>
        <w:rPr>
          <w:rFonts w:hint="eastAsia" w:ascii="仿宋_GB2312" w:hAnsi="仿宋_GB2312" w:eastAsia="仿宋_GB2312" w:cs="仿宋_GB2312"/>
          <w:color w:val="auto"/>
          <w:w w:val="95"/>
          <w:sz w:val="32"/>
          <w:szCs w:val="32"/>
        </w:rPr>
        <w:t>并作为该协议的依据。</w:t>
      </w:r>
    </w:p>
    <w:p w14:paraId="021248FE">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第二条 甲方的权力与义务</w:t>
      </w:r>
    </w:p>
    <w:p w14:paraId="48164E8B">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1.及时向乙方宣传、解读医疗保险</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政策文件和调整情况；</w:t>
      </w:r>
    </w:p>
    <w:p w14:paraId="0BF2D17A">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2.按规定审核乙方申报的医疗费用，向乙方结算符合医疗保险</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支付范围的医疗费用，并每月预留乙方统筹基金支付总额的5%作为医疗服务质量保证金 ；</w:t>
      </w:r>
    </w:p>
    <w:p w14:paraId="2576B282">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3.以年度考核、日常巡查、专项检查、投诉调查、不定期抽查、委托第三方监管等多种方式对乙方的</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服务行为进行协议管理；</w:t>
      </w:r>
    </w:p>
    <w:p w14:paraId="4A395B24">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4.协助乙方处理有关医疗保险其它事宜。</w:t>
      </w:r>
    </w:p>
    <w:p w14:paraId="1E9F2417">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第三条 乙方的权利与义务</w:t>
      </w:r>
    </w:p>
    <w:p w14:paraId="2FF4D469">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1.严格遵守《中华人民共和国药品管理法》及相关法律法规，严格执行国家</w:t>
      </w:r>
      <w:r>
        <w:rPr>
          <w:rFonts w:hint="eastAsia" w:ascii="仿宋_GB2312" w:hAnsi="仿宋_GB2312" w:eastAsia="仿宋_GB2312" w:cs="仿宋_GB2312"/>
          <w:color w:val="auto"/>
          <w:w w:val="95"/>
          <w:sz w:val="32"/>
          <w:szCs w:val="32"/>
          <w:lang w:val="en-US" w:eastAsia="zh-CN"/>
        </w:rPr>
        <w:t>和自治区</w:t>
      </w:r>
      <w:r>
        <w:rPr>
          <w:rFonts w:hint="eastAsia" w:ascii="仿宋_GB2312" w:hAnsi="仿宋_GB2312" w:eastAsia="仿宋_GB2312" w:cs="仿宋_GB2312"/>
          <w:color w:val="auto"/>
          <w:w w:val="95"/>
          <w:sz w:val="32"/>
          <w:szCs w:val="32"/>
        </w:rPr>
        <w:t>医疗保险</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有关规定；</w:t>
      </w:r>
    </w:p>
    <w:p w14:paraId="0C3DA02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2.在显要位置悬挂医疗保险</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定点零售药店标志牌，并在经营场所设置专门的</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仓储区、病人服务区、政策宣传栏，及时宣传</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有关政策规定，并做好咨询服务，方便参保人员购药；</w:t>
      </w:r>
    </w:p>
    <w:p w14:paraId="034CE0E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3.配备医疗保险</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专（兼）职管理人员及具有药师资格的人员，配合甲方做好参保人员</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用药服务等事宜；</w:t>
      </w:r>
    </w:p>
    <w:p w14:paraId="6B762468">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4.严格执行</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管理制度，按规定存储、分类存放，所有药品必须摆放整齐、明码标价、包装完好、表面整洁；</w:t>
      </w:r>
    </w:p>
    <w:p w14:paraId="1DF4E06A">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5.坚持合理收费，严格执行国家谈判药品价格；</w:t>
      </w:r>
    </w:p>
    <w:p w14:paraId="7DEE9473">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6.根据医疗保险</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管理政策，建立完善的</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服务制度及流程，为参保人员建立个人档案、完整记录</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使用信息，并按月做好信息汇总；</w:t>
      </w:r>
    </w:p>
    <w:p w14:paraId="4206AD7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7.配药时应认真核对参保人员身份信息、审批表及处方， 查验其相关资料信息是否相符、准确无误后再予以配药。因工作失误造成差错事故或引起矛盾纠纷的，责任由乙方承担。相关资籵、处方应妥善保存以备核查；</w:t>
      </w:r>
    </w:p>
    <w:p w14:paraId="430BB995">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8.无正当理由，不得拒绝参保人员购药需求，若认定处方信息有异议时，要告知参保人员，由原开具处方的医师修改后再予以配药；</w:t>
      </w:r>
    </w:p>
    <w:p w14:paraId="2A989ABE">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9.具备监控设备，能够对</w:t>
      </w:r>
      <w:r>
        <w:rPr>
          <w:rFonts w:hint="eastAsia" w:ascii="仿宋_GB2312" w:hAnsi="仿宋_GB2312" w:eastAsia="仿宋_GB2312" w:cs="仿宋_GB2312"/>
          <w:color w:val="auto"/>
          <w:w w:val="95"/>
          <w:sz w:val="32"/>
          <w:szCs w:val="32"/>
          <w:lang w:val="en-US" w:eastAsia="zh-CN"/>
        </w:rPr>
        <w:t>配</w:t>
      </w:r>
      <w:r>
        <w:rPr>
          <w:rFonts w:hint="eastAsia" w:ascii="仿宋_GB2312" w:hAnsi="仿宋_GB2312" w:eastAsia="仿宋_GB2312" w:cs="仿宋_GB2312"/>
          <w:color w:val="auto"/>
          <w:w w:val="95"/>
          <w:sz w:val="32"/>
          <w:szCs w:val="32"/>
        </w:rPr>
        <w:t>药服务、收银结算行为实时监控；</w:t>
      </w:r>
    </w:p>
    <w:p w14:paraId="5231BB50">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10.</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进销存管理系统、医保结算数据能够与甲方系统有效对接，实现数据实时动态管理，确保业务数据安全、准确、完整、规范；</w:t>
      </w:r>
    </w:p>
    <w:p w14:paraId="3AA4C2D9">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11.积极配合甲方医疗保险监督稽核工作，按甲方要求提供所需的信息系统数据和相关资籵。</w:t>
      </w:r>
    </w:p>
    <w:p w14:paraId="50733FF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第四条 经核实，乙方有下列情形之一的，根据情节，甲方有权对乙方做出约谈、限时整改、扣除或追回违约费用、扣除质量保证金、缓付费用、通报批评、暂停服务协议。</w:t>
      </w:r>
    </w:p>
    <w:p w14:paraId="1CAF065C">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1.未按本协议要求落实管理措施的；</w:t>
      </w:r>
    </w:p>
    <w:p w14:paraId="3F8C569B">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2.违反价格政策，抬高相关药品零售价格，抽查同类同款药品价格高于国家谈判药品价格；</w:t>
      </w:r>
    </w:p>
    <w:p w14:paraId="039870B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lang w:eastAsia="zh-CN"/>
        </w:rPr>
      </w:pPr>
      <w:r>
        <w:rPr>
          <w:rFonts w:hint="eastAsia" w:ascii="仿宋_GB2312" w:hAnsi="仿宋_GB2312" w:eastAsia="仿宋_GB2312" w:cs="仿宋_GB2312"/>
          <w:color w:val="auto"/>
          <w:w w:val="95"/>
          <w:sz w:val="32"/>
          <w:szCs w:val="32"/>
        </w:rPr>
        <w:t>3.不能严格遵守药品调剂制度和操作规程，造成差错事故的</w:t>
      </w:r>
      <w:r>
        <w:rPr>
          <w:rFonts w:hint="eastAsia" w:ascii="仿宋_GB2312" w:hAnsi="仿宋_GB2312" w:eastAsia="仿宋_GB2312" w:cs="仿宋_GB2312"/>
          <w:color w:val="auto"/>
          <w:w w:val="95"/>
          <w:sz w:val="32"/>
          <w:szCs w:val="32"/>
          <w:lang w:eastAsia="zh-CN"/>
        </w:rPr>
        <w:t>；</w:t>
      </w:r>
    </w:p>
    <w:p w14:paraId="601C7B0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4.药品进购、销售、库存记录与</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结算数据不符的；</w:t>
      </w:r>
    </w:p>
    <w:p w14:paraId="60374AD7">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5.出售假冒、伪劣、过期失效药品</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rPr>
        <w:t>不按规定环境存（储） 放药品的；</w:t>
      </w:r>
    </w:p>
    <w:p w14:paraId="46B8BFB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6.违反医疗保险其它政策规定的。</w:t>
      </w:r>
    </w:p>
    <w:p w14:paraId="386E72BB">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第五条  乙方发生下列情形之一的，甲方可在第四条处理的基础上对乙方作出终止</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服务协议等处理。</w:t>
      </w:r>
    </w:p>
    <w:p w14:paraId="6332EBE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1.违反第四条相关规定，在整改期内或在半年内仍然存在相关问题整改不到位或拒绝整改的；</w:t>
      </w:r>
    </w:p>
    <w:p w14:paraId="65976736">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2.伪造虚假凭证或串通参保人员骗取医保基金的；</w:t>
      </w:r>
    </w:p>
    <w:p w14:paraId="4A89CE59">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3.将</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目录范围外的药品或其他商品按照</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目录申报医保结算的；</w:t>
      </w:r>
    </w:p>
    <w:p w14:paraId="626BA7DE">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4.被吊销《药品经营许可证》或《营业执照》的；</w:t>
      </w:r>
    </w:p>
    <w:p w14:paraId="638CA8BC">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5.拒绝、阻挠或不配合甲方开展必要监督检查的；</w:t>
      </w:r>
    </w:p>
    <w:p w14:paraId="26471C82">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6.因违反</w:t>
      </w:r>
      <w:r>
        <w:rPr>
          <w:rFonts w:hint="eastAsia" w:ascii="仿宋_GB2312" w:hAnsi="仿宋_GB2312" w:eastAsia="仿宋_GB2312" w:cs="仿宋_GB2312"/>
          <w:color w:val="auto"/>
          <w:w w:val="95"/>
          <w:sz w:val="32"/>
          <w:szCs w:val="32"/>
          <w:lang w:val="en-US" w:eastAsia="zh-CN"/>
        </w:rPr>
        <w:t>自治区</w:t>
      </w:r>
      <w:r>
        <w:rPr>
          <w:rFonts w:hint="eastAsia" w:ascii="仿宋_GB2312" w:hAnsi="仿宋_GB2312" w:eastAsia="仿宋_GB2312" w:cs="仿宋_GB2312"/>
          <w:color w:val="auto"/>
          <w:w w:val="95"/>
          <w:sz w:val="32"/>
          <w:szCs w:val="32"/>
        </w:rPr>
        <w:t>医疗保险规定</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rPr>
        <w:t>被新闻媒体曝光造成不良社会影响的；</w:t>
      </w:r>
    </w:p>
    <w:p w14:paraId="5360BB63">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7.其他造成严重后果或重大</w:t>
      </w:r>
      <w:r>
        <w:rPr>
          <w:rFonts w:hint="eastAsia" w:ascii="仿宋_GB2312" w:hAnsi="仿宋_GB2312" w:eastAsia="仿宋_GB2312" w:cs="仿宋_GB2312"/>
          <w:color w:val="auto"/>
          <w:w w:val="95"/>
          <w:sz w:val="32"/>
          <w:szCs w:val="32"/>
          <w:lang w:val="en-US" w:eastAsia="zh-CN"/>
        </w:rPr>
        <w:t>影响</w:t>
      </w:r>
      <w:r>
        <w:rPr>
          <w:rFonts w:hint="eastAsia" w:ascii="仿宋_GB2312" w:hAnsi="仿宋_GB2312" w:eastAsia="仿宋_GB2312" w:cs="仿宋_GB2312"/>
          <w:color w:val="auto"/>
          <w:w w:val="95"/>
          <w:sz w:val="32"/>
          <w:szCs w:val="32"/>
        </w:rPr>
        <w:t>的违约行为。</w:t>
      </w:r>
    </w:p>
    <w:p w14:paraId="32375F22">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第六条  甲方在监督检查和年终考核评估中发现乙方有以下   情形之一的，将实行退出机制。</w:t>
      </w:r>
    </w:p>
    <w:p w14:paraId="0DA94812">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1.乙方名称、注册地址等信息发生变更，在主管部门办理变更手续后，30个工作日内未在甲方办理变更手续的；</w:t>
      </w:r>
    </w:p>
    <w:p w14:paraId="72007AA8">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2.基础设施、服务能力不符合</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定点资格条件的；</w:t>
      </w:r>
    </w:p>
    <w:p w14:paraId="61F41860">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3.上年度无</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业务或</w:t>
      </w:r>
      <w:r>
        <w:rPr>
          <w:rFonts w:hint="eastAsia" w:ascii="仿宋_GB2312" w:hAnsi="仿宋_GB2312" w:eastAsia="仿宋_GB2312" w:cs="仿宋_GB2312"/>
          <w:color w:val="auto"/>
          <w:w w:val="95"/>
          <w:sz w:val="32"/>
          <w:szCs w:val="32"/>
          <w:lang w:eastAsia="zh-CN"/>
        </w:rPr>
        <w:t>谈判药品</w:t>
      </w:r>
      <w:r>
        <w:rPr>
          <w:rFonts w:hint="eastAsia" w:ascii="仿宋_GB2312" w:hAnsi="仿宋_GB2312" w:eastAsia="仿宋_GB2312" w:cs="仿宋_GB2312"/>
          <w:color w:val="auto"/>
          <w:w w:val="95"/>
          <w:sz w:val="32"/>
          <w:szCs w:val="32"/>
        </w:rPr>
        <w:t>业务少于10人的；</w:t>
      </w:r>
    </w:p>
    <w:p w14:paraId="7A2C3F3A">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4.因搬迁、撤销、关闭等原因</w:t>
      </w:r>
      <w:r>
        <w:rPr>
          <w:rFonts w:hint="eastAsia" w:ascii="仿宋_GB2312" w:hAnsi="仿宋_GB2312" w:eastAsia="仿宋_GB2312" w:cs="仿宋_GB2312"/>
          <w:color w:val="auto"/>
          <w:w w:val="95"/>
          <w:sz w:val="32"/>
          <w:szCs w:val="32"/>
          <w:lang w:val="en-US" w:eastAsia="zh-CN"/>
        </w:rPr>
        <w:t>不</w:t>
      </w:r>
      <w:r>
        <w:rPr>
          <w:rFonts w:hint="eastAsia" w:ascii="仿宋_GB2312" w:hAnsi="仿宋_GB2312" w:eastAsia="仿宋_GB2312" w:cs="仿宋_GB2312"/>
          <w:color w:val="auto"/>
          <w:w w:val="95"/>
          <w:sz w:val="32"/>
          <w:szCs w:val="32"/>
        </w:rPr>
        <w:t>能为参保人员提供医保服务 6个月以上的。</w:t>
      </w:r>
    </w:p>
    <w:p w14:paraId="37D71252">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第七条  本协议自</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年</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月</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日至</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年</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月</w:t>
      </w:r>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rPr>
        <w:t>日有效。一式二份，由甲乙双方各执一份，双方签字盖章后生效。</w:t>
      </w:r>
    </w:p>
    <w:p w14:paraId="0D67307E">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甲方（盖章）：                 乙方（盖章）：</w:t>
      </w:r>
    </w:p>
    <w:p w14:paraId="0B4B0BA4">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w w:val="95"/>
          <w:sz w:val="32"/>
          <w:szCs w:val="32"/>
        </w:rPr>
      </w:pPr>
    </w:p>
    <w:p w14:paraId="3BA9A245">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法人代表：                    法人代表：</w:t>
      </w:r>
    </w:p>
    <w:p w14:paraId="575E073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color w:val="auto"/>
          <w:w w:val="95"/>
          <w:sz w:val="32"/>
          <w:szCs w:val="32"/>
        </w:rPr>
      </w:pPr>
    </w:p>
    <w:p w14:paraId="7B4AC515">
      <w:pPr>
        <w:keepNext w:val="0"/>
        <w:keepLines w:val="0"/>
        <w:pageBreakBefore w:val="0"/>
        <w:kinsoku/>
        <w:wordWrap/>
        <w:overflowPunct/>
        <w:topLinePunct w:val="0"/>
        <w:autoSpaceDE/>
        <w:autoSpaceDN/>
        <w:bidi w:val="0"/>
        <w:spacing w:line="560" w:lineRule="exact"/>
        <w:ind w:firstLine="1216" w:firstLineChars="400"/>
        <w:jc w:val="both"/>
        <w:textAlignment w:val="auto"/>
        <w:rPr>
          <w:rFonts w:hint="eastAsia" w:ascii="仿宋" w:hAnsi="仿宋" w:eastAsia="仿宋" w:cs="仿宋"/>
          <w:sz w:val="32"/>
          <w:szCs w:val="32"/>
        </w:rPr>
      </w:pPr>
      <w:r>
        <w:rPr>
          <w:rFonts w:hint="eastAsia" w:ascii="仿宋_GB2312" w:hAnsi="仿宋_GB2312" w:eastAsia="仿宋_GB2312" w:cs="仿宋_GB2312"/>
          <w:color w:val="auto"/>
          <w:w w:val="95"/>
          <w:sz w:val="32"/>
          <w:szCs w:val="32"/>
        </w:rPr>
        <w:t>年  月  日                     年  月  日</w:t>
      </w:r>
    </w:p>
    <w:p w14:paraId="4E8DEA62">
      <w:pPr>
        <w:autoSpaceDE w:val="0"/>
        <w:autoSpaceDN w:val="0"/>
        <w:spacing w:line="700" w:lineRule="exact"/>
        <w:jc w:val="left"/>
        <w:rPr>
          <w:rFonts w:hint="eastAsia" w:ascii="仿宋_GB2312" w:hAnsi="宋体" w:eastAsia="仿宋_GB2312"/>
          <w:color w:val="000000"/>
          <w:sz w:val="24"/>
          <w:szCs w:val="24"/>
          <w:lang w:val="zh-CN"/>
        </w:rPr>
      </w:pPr>
    </w:p>
    <w:p w14:paraId="78666DAC">
      <w:pPr>
        <w:autoSpaceDE w:val="0"/>
        <w:autoSpaceDN w:val="0"/>
        <w:spacing w:line="700" w:lineRule="exact"/>
        <w:jc w:val="left"/>
        <w:rPr>
          <w:rFonts w:hint="eastAsia" w:ascii="仿宋_GB2312" w:hAnsi="宋体" w:eastAsia="仿宋_GB2312"/>
          <w:color w:val="000000"/>
          <w:sz w:val="24"/>
          <w:szCs w:val="24"/>
          <w:lang w:val="zh-CN"/>
        </w:rPr>
      </w:pPr>
    </w:p>
    <w:p w14:paraId="285601FC">
      <w:pPr>
        <w:autoSpaceDE w:val="0"/>
        <w:autoSpaceDN w:val="0"/>
        <w:spacing w:line="700" w:lineRule="exact"/>
        <w:jc w:val="left"/>
        <w:rPr>
          <w:rFonts w:hint="eastAsia" w:ascii="仿宋_GB2312" w:hAnsi="宋体" w:eastAsia="仿宋_GB2312"/>
          <w:color w:val="000000"/>
          <w:sz w:val="24"/>
          <w:szCs w:val="24"/>
          <w:lang w:val="zh-CN"/>
        </w:rPr>
      </w:pPr>
    </w:p>
    <w:p w14:paraId="01057D6E">
      <w:pPr>
        <w:autoSpaceDE w:val="0"/>
        <w:autoSpaceDN w:val="0"/>
        <w:spacing w:line="700" w:lineRule="exact"/>
        <w:jc w:val="left"/>
        <w:rPr>
          <w:rFonts w:hint="eastAsia" w:ascii="黑体" w:hAnsi="黑体" w:eastAsia="黑体" w:cs="黑体"/>
          <w:color w:val="000000"/>
          <w:sz w:val="32"/>
          <w:szCs w:val="32"/>
          <w:lang w:val="zh-CN" w:eastAsia="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7：</w:t>
      </w:r>
    </w:p>
    <w:p w14:paraId="63068AB5">
      <w:pPr>
        <w:keepNext w:val="0"/>
        <w:keepLines w:val="0"/>
        <w:pageBreakBefore w:val="0"/>
        <w:kinsoku/>
        <w:wordWrap/>
        <w:overflowPunct/>
        <w:topLinePunct w:val="0"/>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宁夏参保人员双通道管理药品用药申请表</w:t>
      </w:r>
    </w:p>
    <w:p w14:paraId="00722A91">
      <w:pPr>
        <w:keepNext w:val="0"/>
        <w:keepLines w:val="0"/>
        <w:pageBreakBefore w:val="0"/>
        <w:kinsoku/>
        <w:wordWrap/>
        <w:overflowPunct/>
        <w:topLinePunct w:val="0"/>
        <w:bidi w:val="0"/>
        <w:adjustRightInd/>
        <w:snapToGrid/>
        <w:ind w:left="0" w:leftChars="0" w:firstLine="0" w:firstLineChars="0"/>
        <w:jc w:val="right"/>
        <w:textAlignment w:val="auto"/>
      </w:pPr>
      <w:r>
        <w:rPr>
          <w:rFonts w:hint="eastAsia"/>
        </w:rPr>
        <w:t xml:space="preserve">                       申请日期：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383"/>
        <w:gridCol w:w="1011"/>
        <w:gridCol w:w="796"/>
        <w:gridCol w:w="1491"/>
        <w:gridCol w:w="1421"/>
      </w:tblGrid>
      <w:tr w14:paraId="62AF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58B3BAD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姓  名</w:t>
            </w:r>
          </w:p>
        </w:tc>
        <w:tc>
          <w:tcPr>
            <w:tcW w:w="2383" w:type="dxa"/>
          </w:tcPr>
          <w:p w14:paraId="14C79FC0">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011" w:type="dxa"/>
          </w:tcPr>
          <w:p w14:paraId="78C99EB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性别</w:t>
            </w:r>
          </w:p>
        </w:tc>
        <w:tc>
          <w:tcPr>
            <w:tcW w:w="796" w:type="dxa"/>
          </w:tcPr>
          <w:p w14:paraId="68EBAB4A">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491" w:type="dxa"/>
          </w:tcPr>
          <w:p w14:paraId="5BE0F52B">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年龄</w:t>
            </w:r>
          </w:p>
        </w:tc>
        <w:tc>
          <w:tcPr>
            <w:tcW w:w="1421" w:type="dxa"/>
          </w:tcPr>
          <w:p w14:paraId="7C8563D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4E79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22101C52">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身份证号</w:t>
            </w:r>
          </w:p>
        </w:tc>
        <w:tc>
          <w:tcPr>
            <w:tcW w:w="2383" w:type="dxa"/>
          </w:tcPr>
          <w:p w14:paraId="0D06CE8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0C1B19E4">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参保属地</w:t>
            </w:r>
          </w:p>
        </w:tc>
        <w:tc>
          <w:tcPr>
            <w:tcW w:w="2912" w:type="dxa"/>
            <w:gridSpan w:val="2"/>
          </w:tcPr>
          <w:p w14:paraId="5F268595">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 xml:space="preserve">       市     区（县、市 ）</w:t>
            </w:r>
          </w:p>
        </w:tc>
      </w:tr>
      <w:tr w14:paraId="741F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21A6BB6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参保类别</w:t>
            </w:r>
          </w:p>
        </w:tc>
        <w:tc>
          <w:tcPr>
            <w:tcW w:w="7102" w:type="dxa"/>
            <w:gridSpan w:val="5"/>
          </w:tcPr>
          <w:p w14:paraId="39C1F673">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sym w:font="Wingdings 2" w:char="00A3"/>
            </w:r>
            <w:r>
              <w:rPr>
                <w:rFonts w:hint="eastAsia"/>
                <w:kern w:val="0"/>
                <w:sz w:val="20"/>
                <w:szCs w:val="20"/>
              </w:rPr>
              <w:t xml:space="preserve">职工医保        </w:t>
            </w:r>
            <w:r>
              <w:rPr>
                <w:rFonts w:hint="eastAsia"/>
                <w:kern w:val="0"/>
                <w:sz w:val="20"/>
                <w:szCs w:val="20"/>
              </w:rPr>
              <w:sym w:font="Wingdings 2" w:char="00A3"/>
            </w:r>
            <w:r>
              <w:rPr>
                <w:rFonts w:hint="eastAsia"/>
                <w:kern w:val="0"/>
                <w:sz w:val="20"/>
                <w:szCs w:val="20"/>
              </w:rPr>
              <w:t>居民医保    其他______</w:t>
            </w:r>
          </w:p>
        </w:tc>
      </w:tr>
      <w:tr w14:paraId="6970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0DDA246F">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家庭住址</w:t>
            </w:r>
          </w:p>
        </w:tc>
        <w:tc>
          <w:tcPr>
            <w:tcW w:w="2383" w:type="dxa"/>
          </w:tcPr>
          <w:p w14:paraId="30CCA60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532FEAC1">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 xml:space="preserve">联系电话 </w:t>
            </w:r>
          </w:p>
        </w:tc>
        <w:tc>
          <w:tcPr>
            <w:tcW w:w="2912" w:type="dxa"/>
            <w:gridSpan w:val="2"/>
          </w:tcPr>
          <w:p w14:paraId="79CA5B10">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2ADF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5CEBEC23">
            <w:pPr>
              <w:keepNext w:val="0"/>
              <w:keepLines w:val="0"/>
              <w:pageBreakBefore w:val="0"/>
              <w:tabs>
                <w:tab w:val="left" w:pos="582"/>
              </w:tabs>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国谈药定点医疗机构</w:t>
            </w:r>
          </w:p>
        </w:tc>
        <w:tc>
          <w:tcPr>
            <w:tcW w:w="2383" w:type="dxa"/>
          </w:tcPr>
          <w:p w14:paraId="06F27A4E">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182F4210">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国谈药定点</w:t>
            </w:r>
          </w:p>
          <w:p w14:paraId="7A8A83DD">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零售药店</w:t>
            </w:r>
          </w:p>
        </w:tc>
        <w:tc>
          <w:tcPr>
            <w:tcW w:w="2912" w:type="dxa"/>
            <w:gridSpan w:val="2"/>
          </w:tcPr>
          <w:p w14:paraId="6C998A7C">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7F65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6"/>
            <w:vAlign w:val="center"/>
          </w:tcPr>
          <w:p w14:paraId="39963F37">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b/>
                <w:bCs/>
                <w:kern w:val="0"/>
                <w:sz w:val="20"/>
                <w:szCs w:val="20"/>
              </w:rPr>
              <w:t>以上内容由</w:t>
            </w:r>
            <w:r>
              <w:rPr>
                <w:rFonts w:hint="eastAsia"/>
                <w:b/>
                <w:bCs/>
                <w:kern w:val="0"/>
                <w:sz w:val="20"/>
                <w:szCs w:val="20"/>
                <w:lang w:eastAsia="zh-CN"/>
              </w:rPr>
              <w:t>责任医师</w:t>
            </w:r>
            <w:r>
              <w:rPr>
                <w:rFonts w:hint="eastAsia"/>
                <w:b/>
                <w:bCs/>
                <w:kern w:val="0"/>
                <w:sz w:val="20"/>
                <w:szCs w:val="20"/>
              </w:rPr>
              <w:t>填写</w:t>
            </w:r>
          </w:p>
        </w:tc>
      </w:tr>
      <w:tr w14:paraId="669D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2A89D2C3">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疾病诊断</w:t>
            </w:r>
          </w:p>
        </w:tc>
        <w:tc>
          <w:tcPr>
            <w:tcW w:w="7102" w:type="dxa"/>
            <w:gridSpan w:val="5"/>
          </w:tcPr>
          <w:p w14:paraId="7549197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77F9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2793BFA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申请使用</w:t>
            </w:r>
            <w:r>
              <w:rPr>
                <w:rFonts w:hint="eastAsia"/>
                <w:kern w:val="0"/>
                <w:sz w:val="20"/>
                <w:szCs w:val="20"/>
                <w:lang w:eastAsia="zh-CN"/>
              </w:rPr>
              <w:t>谈判药品</w:t>
            </w:r>
            <w:r>
              <w:rPr>
                <w:rFonts w:hint="eastAsia"/>
                <w:kern w:val="0"/>
                <w:sz w:val="20"/>
                <w:szCs w:val="20"/>
              </w:rPr>
              <w:t>名称</w:t>
            </w:r>
          </w:p>
        </w:tc>
        <w:tc>
          <w:tcPr>
            <w:tcW w:w="2383" w:type="dxa"/>
          </w:tcPr>
          <w:p w14:paraId="18D080D2">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3BCABF93">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是否单独支付</w:t>
            </w:r>
          </w:p>
          <w:p w14:paraId="0492EFF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药品</w:t>
            </w:r>
          </w:p>
        </w:tc>
        <w:tc>
          <w:tcPr>
            <w:tcW w:w="2912" w:type="dxa"/>
            <w:gridSpan w:val="2"/>
            <w:vAlign w:val="center"/>
          </w:tcPr>
          <w:p w14:paraId="0517620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sym w:font="Wingdings 2" w:char="00A3"/>
            </w:r>
            <w:r>
              <w:rPr>
                <w:rFonts w:hint="eastAsia"/>
                <w:kern w:val="0"/>
                <w:sz w:val="20"/>
                <w:szCs w:val="20"/>
              </w:rPr>
              <w:t xml:space="preserve">是    </w:t>
            </w:r>
            <w:r>
              <w:rPr>
                <w:rFonts w:hint="eastAsia"/>
                <w:kern w:val="0"/>
                <w:sz w:val="20"/>
                <w:szCs w:val="20"/>
              </w:rPr>
              <w:sym w:font="Wingdings 2" w:char="00A3"/>
            </w:r>
            <w:r>
              <w:rPr>
                <w:rFonts w:hint="eastAsia"/>
                <w:kern w:val="0"/>
                <w:sz w:val="20"/>
                <w:szCs w:val="20"/>
              </w:rPr>
              <w:t>否</w:t>
            </w:r>
          </w:p>
        </w:tc>
      </w:tr>
      <w:tr w14:paraId="1A09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3" w:hRule="atLeast"/>
          <w:jc w:val="center"/>
        </w:trPr>
        <w:tc>
          <w:tcPr>
            <w:tcW w:w="1420" w:type="dxa"/>
            <w:vAlign w:val="center"/>
          </w:tcPr>
          <w:p w14:paraId="7F8F0A7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国谈药定点医疗机构意见</w:t>
            </w:r>
          </w:p>
        </w:tc>
        <w:tc>
          <w:tcPr>
            <w:tcW w:w="7102" w:type="dxa"/>
            <w:gridSpan w:val="5"/>
          </w:tcPr>
          <w:p w14:paraId="2C2D96F3">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申请依据：</w:t>
            </w:r>
          </w:p>
          <w:p w14:paraId="2AAAC08D">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3448B14C">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20CE883B">
            <w:pPr>
              <w:keepNext w:val="0"/>
              <w:keepLines w:val="0"/>
              <w:pageBreakBefore w:val="0"/>
              <w:kinsoku/>
              <w:wordWrap/>
              <w:overflowPunct/>
              <w:topLinePunct w:val="0"/>
              <w:bidi w:val="0"/>
              <w:adjustRightInd/>
              <w:snapToGrid/>
              <w:ind w:left="0" w:leftChars="0" w:firstLine="0" w:firstLineChars="0"/>
              <w:jc w:val="left"/>
              <w:textAlignment w:val="auto"/>
              <w:rPr>
                <w:rFonts w:hint="eastAsia"/>
                <w:kern w:val="0"/>
                <w:sz w:val="20"/>
                <w:szCs w:val="20"/>
              </w:rPr>
            </w:pPr>
          </w:p>
          <w:p w14:paraId="1415DFCE">
            <w:pPr>
              <w:keepNext w:val="0"/>
              <w:keepLines w:val="0"/>
              <w:pageBreakBefore w:val="0"/>
              <w:kinsoku/>
              <w:wordWrap/>
              <w:overflowPunct/>
              <w:topLinePunct w:val="0"/>
              <w:bidi w:val="0"/>
              <w:adjustRightInd/>
              <w:snapToGrid/>
              <w:ind w:left="0" w:leftChars="0" w:firstLine="0" w:firstLineChars="0"/>
              <w:jc w:val="left"/>
              <w:textAlignment w:val="auto"/>
              <w:rPr>
                <w:rFonts w:hint="eastAsia"/>
                <w:kern w:val="0"/>
                <w:sz w:val="20"/>
                <w:szCs w:val="20"/>
              </w:rPr>
            </w:pPr>
          </w:p>
          <w:p w14:paraId="3BB59A3C">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 xml:space="preserve">是否符合医保限定支付范围：      </w:t>
            </w:r>
            <w:r>
              <w:rPr>
                <w:rFonts w:hint="eastAsia"/>
                <w:kern w:val="0"/>
                <w:sz w:val="20"/>
                <w:szCs w:val="20"/>
              </w:rPr>
              <w:sym w:font="Wingdings 2" w:char="00A3"/>
            </w:r>
            <w:r>
              <w:rPr>
                <w:rFonts w:hint="eastAsia"/>
                <w:kern w:val="0"/>
                <w:sz w:val="20"/>
                <w:szCs w:val="20"/>
              </w:rPr>
              <w:t xml:space="preserve">是       </w:t>
            </w:r>
            <w:r>
              <w:rPr>
                <w:rFonts w:hint="eastAsia"/>
                <w:kern w:val="0"/>
                <w:sz w:val="20"/>
                <w:szCs w:val="20"/>
              </w:rPr>
              <w:sym w:font="Wingdings 2" w:char="00A3"/>
            </w:r>
            <w:r>
              <w:rPr>
                <w:rFonts w:hint="eastAsia"/>
                <w:kern w:val="0"/>
                <w:sz w:val="20"/>
                <w:szCs w:val="20"/>
              </w:rPr>
              <w:t>否</w:t>
            </w:r>
          </w:p>
          <w:p w14:paraId="28D81BB8">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2C1D1C37">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治疗方案（用法用量）：</w:t>
            </w:r>
          </w:p>
          <w:p w14:paraId="696D64EC">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71C8D6D7">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59B5F8FD">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4227032C">
            <w:pPr>
              <w:keepNext w:val="0"/>
              <w:keepLines w:val="0"/>
              <w:pageBreakBefore w:val="0"/>
              <w:kinsoku/>
              <w:wordWrap/>
              <w:overflowPunct/>
              <w:topLinePunct w:val="0"/>
              <w:bidi w:val="0"/>
              <w:adjustRightInd/>
              <w:snapToGrid/>
              <w:ind w:left="0" w:leftChars="0" w:firstLine="0" w:firstLineChars="0"/>
              <w:jc w:val="left"/>
              <w:textAlignment w:val="auto"/>
              <w:rPr>
                <w:rFonts w:hint="eastAsia"/>
                <w:kern w:val="0"/>
                <w:sz w:val="20"/>
                <w:szCs w:val="20"/>
              </w:rPr>
            </w:pPr>
          </w:p>
          <w:p w14:paraId="2A2B6D0E">
            <w:pPr>
              <w:keepNext w:val="0"/>
              <w:keepLines w:val="0"/>
              <w:pageBreakBefore w:val="0"/>
              <w:kinsoku/>
              <w:wordWrap/>
              <w:overflowPunct/>
              <w:topLinePunct w:val="0"/>
              <w:bidi w:val="0"/>
              <w:adjustRightInd/>
              <w:snapToGrid/>
              <w:ind w:left="0" w:leftChars="0" w:firstLine="0" w:firstLineChars="0"/>
              <w:jc w:val="left"/>
              <w:textAlignment w:val="auto"/>
              <w:rPr>
                <w:rFonts w:hint="eastAsia"/>
                <w:kern w:val="0"/>
                <w:sz w:val="20"/>
                <w:szCs w:val="20"/>
              </w:rPr>
            </w:pPr>
          </w:p>
          <w:p w14:paraId="74DEB8AF">
            <w:pPr>
              <w:keepNext w:val="0"/>
              <w:keepLines w:val="0"/>
              <w:pageBreakBefore w:val="0"/>
              <w:kinsoku/>
              <w:wordWrap/>
              <w:overflowPunct/>
              <w:topLinePunct w:val="0"/>
              <w:bidi w:val="0"/>
              <w:adjustRightInd/>
              <w:snapToGrid/>
              <w:ind w:left="0" w:leftChars="0" w:firstLine="0" w:firstLineChars="0"/>
              <w:jc w:val="left"/>
              <w:textAlignment w:val="auto"/>
              <w:rPr>
                <w:rFonts w:hint="eastAsia"/>
                <w:kern w:val="0"/>
                <w:sz w:val="20"/>
                <w:szCs w:val="20"/>
              </w:rPr>
            </w:pPr>
          </w:p>
          <w:p w14:paraId="422F3028">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复查评估周期：                    下一次复查评估日期：</w:t>
            </w:r>
          </w:p>
          <w:p w14:paraId="171261A8">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7085CCC1">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责任医师签章：</w:t>
            </w:r>
          </w:p>
          <w:p w14:paraId="09483D7D">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60A74109">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 xml:space="preserve">医院医保办联系电话：               医院医保办盖章：                        </w:t>
            </w:r>
          </w:p>
          <w:p w14:paraId="777D0F95">
            <w:pPr>
              <w:keepNext w:val="0"/>
              <w:keepLines w:val="0"/>
              <w:pageBreakBefore w:val="0"/>
              <w:kinsoku/>
              <w:wordWrap/>
              <w:overflowPunct/>
              <w:topLinePunct w:val="0"/>
              <w:bidi w:val="0"/>
              <w:adjustRightInd/>
              <w:snapToGrid/>
              <w:ind w:left="0" w:leftChars="0" w:firstLine="0" w:firstLineChars="0"/>
              <w:jc w:val="left"/>
              <w:textAlignment w:val="auto"/>
              <w:rPr>
                <w:rFonts w:hint="eastAsia"/>
                <w:kern w:val="0"/>
                <w:sz w:val="20"/>
                <w:szCs w:val="20"/>
              </w:rPr>
            </w:pPr>
          </w:p>
          <w:p w14:paraId="6B5B7D6D">
            <w:pPr>
              <w:keepNext w:val="0"/>
              <w:keepLines w:val="0"/>
              <w:pageBreakBefore w:val="0"/>
              <w:kinsoku/>
              <w:wordWrap/>
              <w:overflowPunct/>
              <w:topLinePunct w:val="0"/>
              <w:bidi w:val="0"/>
              <w:adjustRightInd/>
              <w:snapToGrid/>
              <w:ind w:left="0" w:leftChars="0" w:firstLine="3400" w:firstLineChars="1700"/>
              <w:jc w:val="left"/>
              <w:textAlignment w:val="auto"/>
              <w:rPr>
                <w:kern w:val="0"/>
                <w:sz w:val="20"/>
                <w:szCs w:val="20"/>
              </w:rPr>
            </w:pPr>
            <w:r>
              <w:rPr>
                <w:rFonts w:hint="eastAsia"/>
                <w:kern w:val="0"/>
                <w:sz w:val="20"/>
                <w:szCs w:val="20"/>
              </w:rPr>
              <w:t>年   月   日</w:t>
            </w:r>
          </w:p>
        </w:tc>
      </w:tr>
    </w:tbl>
    <w:p w14:paraId="712E2A5A">
      <w:pPr>
        <w:keepNext w:val="0"/>
        <w:keepLines w:val="0"/>
        <w:pageBreakBefore w:val="0"/>
        <w:kinsoku/>
        <w:wordWrap/>
        <w:overflowPunct/>
        <w:topLinePunct w:val="0"/>
        <w:bidi w:val="0"/>
        <w:adjustRightInd/>
        <w:snapToGrid/>
        <w:ind w:left="0" w:leftChars="0" w:firstLine="0" w:firstLineChars="0"/>
        <w:jc w:val="left"/>
        <w:textAlignment w:val="auto"/>
        <w:rPr>
          <w:sz w:val="18"/>
          <w:szCs w:val="18"/>
        </w:rPr>
      </w:pPr>
      <w:r>
        <w:rPr>
          <w:rFonts w:hint="eastAsia"/>
          <w:sz w:val="18"/>
          <w:szCs w:val="18"/>
        </w:rPr>
        <w:t>注：1.本表</w:t>
      </w:r>
      <w:r>
        <w:rPr>
          <w:rFonts w:hint="eastAsia"/>
          <w:sz w:val="18"/>
          <w:szCs w:val="18"/>
          <w:lang w:eastAsia="zh-CN"/>
        </w:rPr>
        <w:t>由谈判药品“双通道”定点医疗机构责任医师填报</w:t>
      </w:r>
      <w:r>
        <w:rPr>
          <w:rFonts w:hint="eastAsia"/>
          <w:sz w:val="18"/>
          <w:szCs w:val="18"/>
        </w:rPr>
        <w:t>。</w:t>
      </w:r>
    </w:p>
    <w:p w14:paraId="50DD9B94">
      <w:pPr>
        <w:keepNext w:val="0"/>
        <w:keepLines w:val="0"/>
        <w:pageBreakBefore w:val="0"/>
        <w:numPr>
          <w:ilvl w:val="0"/>
          <w:numId w:val="0"/>
        </w:numPr>
        <w:kinsoku/>
        <w:wordWrap/>
        <w:overflowPunct/>
        <w:topLinePunct w:val="0"/>
        <w:bidi w:val="0"/>
        <w:adjustRightInd/>
        <w:snapToGrid/>
        <w:ind w:firstLine="360" w:firstLineChars="200"/>
        <w:jc w:val="left"/>
        <w:textAlignment w:val="auto"/>
        <w:rPr>
          <w:rFonts w:hint="eastAsia"/>
          <w:sz w:val="18"/>
          <w:szCs w:val="18"/>
        </w:rPr>
      </w:pPr>
      <w:r>
        <w:rPr>
          <w:rFonts w:hint="eastAsia"/>
          <w:sz w:val="18"/>
          <w:szCs w:val="18"/>
          <w:lang w:val="en-US" w:eastAsia="zh-CN"/>
        </w:rPr>
        <w:t>2.</w:t>
      </w:r>
      <w:r>
        <w:rPr>
          <w:rFonts w:hint="eastAsia"/>
          <w:sz w:val="18"/>
          <w:szCs w:val="18"/>
          <w:lang w:eastAsia="zh-CN"/>
        </w:rPr>
        <w:t>双通道定点医疗机构信息系统应设置此表，本表经定点医疗机构指定药师、医保办审核后存档备查</w:t>
      </w:r>
      <w:r>
        <w:rPr>
          <w:rFonts w:hint="eastAsia"/>
          <w:sz w:val="18"/>
          <w:szCs w:val="18"/>
        </w:rPr>
        <w:t>。</w:t>
      </w:r>
    </w:p>
    <w:p w14:paraId="24ECE8F6">
      <w:pPr>
        <w:keepNext w:val="0"/>
        <w:keepLines w:val="0"/>
        <w:pageBreakBefore w:val="0"/>
        <w:numPr>
          <w:ilvl w:val="0"/>
          <w:numId w:val="0"/>
        </w:numPr>
        <w:kinsoku/>
        <w:wordWrap/>
        <w:overflowPunct/>
        <w:topLinePunct w:val="0"/>
        <w:bidi w:val="0"/>
        <w:adjustRightInd/>
        <w:snapToGrid/>
        <w:ind w:leftChars="0"/>
        <w:jc w:val="left"/>
        <w:textAlignment w:val="auto"/>
        <w:rPr>
          <w:rFonts w:hint="eastAsia" w:ascii="仿宋" w:hAnsi="仿宋" w:eastAsia="仿宋" w:cs="仿宋"/>
          <w:sz w:val="32"/>
          <w:szCs w:val="32"/>
        </w:rPr>
      </w:pPr>
      <w:r>
        <w:rPr>
          <w:rFonts w:hint="eastAsia"/>
          <w:sz w:val="18"/>
          <w:szCs w:val="18"/>
          <w:lang w:val="en-US" w:eastAsia="zh-CN"/>
        </w:rPr>
        <w:t xml:space="preserve">    3.经定点医疗机构医保办审核后，本表推送至医保处方流转平台，以备参保地经办机构和定点零售药店查阅。</w:t>
      </w:r>
    </w:p>
    <w:p w14:paraId="16FC255B">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黑体" w:hAnsi="黑体" w:eastAsia="黑体" w:cs="黑体"/>
          <w:color w:val="000000"/>
          <w:sz w:val="32"/>
          <w:szCs w:val="32"/>
          <w:lang w:val="zh-CN" w:eastAsia="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8：</w:t>
      </w:r>
    </w:p>
    <w:p w14:paraId="05953F3B">
      <w:pPr>
        <w:keepNext w:val="0"/>
        <w:keepLines w:val="0"/>
        <w:pageBreakBefore w:val="0"/>
        <w:widowControl w:val="0"/>
        <w:kinsoku/>
        <w:wordWrap/>
        <w:overflowPunct/>
        <w:topLinePunct w:val="0"/>
        <w:bidi w:val="0"/>
        <w:adjustRightInd/>
        <w:snapToGrid/>
        <w:spacing w:line="560" w:lineRule="exact"/>
        <w:ind w:left="0" w:leftChars="0" w:firstLine="0" w:firstLineChars="0"/>
        <w:jc w:val="both"/>
        <w:textAlignment w:val="auto"/>
        <w:rPr>
          <w:b/>
          <w:bCs/>
          <w:spacing w:val="-6"/>
          <w:sz w:val="36"/>
          <w:szCs w:val="36"/>
        </w:rPr>
      </w:pPr>
      <w:r>
        <w:rPr>
          <w:rFonts w:hint="eastAsia" w:ascii="方正小标宋简体" w:hAnsi="方正小标宋简体" w:eastAsia="方正小标宋简体" w:cs="方正小标宋简体"/>
          <w:b w:val="0"/>
          <w:bCs w:val="0"/>
          <w:spacing w:val="-6"/>
          <w:sz w:val="44"/>
          <w:szCs w:val="44"/>
        </w:rPr>
        <w:t>宁夏参保人员</w:t>
      </w:r>
      <w:r>
        <w:rPr>
          <w:rFonts w:hint="eastAsia" w:ascii="方正小标宋简体" w:hAnsi="方正小标宋简体" w:eastAsia="方正小标宋简体" w:cs="方正小标宋简体"/>
          <w:b w:val="0"/>
          <w:bCs w:val="0"/>
          <w:spacing w:val="-6"/>
          <w:sz w:val="44"/>
          <w:szCs w:val="44"/>
          <w:lang w:eastAsia="zh-CN"/>
        </w:rPr>
        <w:t>跨省</w:t>
      </w:r>
      <w:r>
        <w:rPr>
          <w:rFonts w:hint="eastAsia" w:ascii="方正小标宋简体" w:hAnsi="方正小标宋简体" w:eastAsia="方正小标宋简体" w:cs="方正小标宋简体"/>
          <w:b w:val="0"/>
          <w:bCs w:val="0"/>
          <w:spacing w:val="-6"/>
          <w:sz w:val="44"/>
          <w:szCs w:val="44"/>
        </w:rPr>
        <w:t>双通道管理药品用药申请表</w:t>
      </w:r>
    </w:p>
    <w:p w14:paraId="6135EA5F">
      <w:pPr>
        <w:keepNext w:val="0"/>
        <w:keepLines w:val="0"/>
        <w:pageBreakBefore w:val="0"/>
        <w:kinsoku/>
        <w:wordWrap/>
        <w:overflowPunct/>
        <w:topLinePunct w:val="0"/>
        <w:bidi w:val="0"/>
        <w:adjustRightInd/>
        <w:snapToGrid/>
        <w:ind w:left="0" w:leftChars="0" w:firstLine="0" w:firstLineChars="0"/>
        <w:jc w:val="right"/>
        <w:textAlignment w:val="auto"/>
      </w:pPr>
      <w:r>
        <w:rPr>
          <w:rFonts w:hint="eastAsia"/>
        </w:rPr>
        <w:t xml:space="preserve">                       申请日期：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383"/>
        <w:gridCol w:w="1011"/>
        <w:gridCol w:w="796"/>
        <w:gridCol w:w="1491"/>
        <w:gridCol w:w="1421"/>
      </w:tblGrid>
      <w:tr w14:paraId="680A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1EB663F3">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姓  名</w:t>
            </w:r>
          </w:p>
        </w:tc>
        <w:tc>
          <w:tcPr>
            <w:tcW w:w="2383" w:type="dxa"/>
          </w:tcPr>
          <w:p w14:paraId="0470E2D3">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011" w:type="dxa"/>
          </w:tcPr>
          <w:p w14:paraId="14C1D07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性别</w:t>
            </w:r>
          </w:p>
        </w:tc>
        <w:tc>
          <w:tcPr>
            <w:tcW w:w="796" w:type="dxa"/>
          </w:tcPr>
          <w:p w14:paraId="4C0D1885">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491" w:type="dxa"/>
          </w:tcPr>
          <w:p w14:paraId="48BC2405">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年龄</w:t>
            </w:r>
          </w:p>
        </w:tc>
        <w:tc>
          <w:tcPr>
            <w:tcW w:w="1421" w:type="dxa"/>
          </w:tcPr>
          <w:p w14:paraId="5A9B4C87">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0FA5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48D6F437">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身份证号</w:t>
            </w:r>
          </w:p>
        </w:tc>
        <w:tc>
          <w:tcPr>
            <w:tcW w:w="2383" w:type="dxa"/>
          </w:tcPr>
          <w:p w14:paraId="08302614">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4E08337C">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参保属地</w:t>
            </w:r>
          </w:p>
        </w:tc>
        <w:tc>
          <w:tcPr>
            <w:tcW w:w="2912" w:type="dxa"/>
            <w:gridSpan w:val="2"/>
          </w:tcPr>
          <w:p w14:paraId="43FCED54">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 xml:space="preserve">       市     区（县、市 ）</w:t>
            </w:r>
          </w:p>
        </w:tc>
      </w:tr>
      <w:tr w14:paraId="656E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24E6F11C">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参保类别</w:t>
            </w:r>
          </w:p>
        </w:tc>
        <w:tc>
          <w:tcPr>
            <w:tcW w:w="7102" w:type="dxa"/>
            <w:gridSpan w:val="5"/>
          </w:tcPr>
          <w:p w14:paraId="2BCC23CF">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sym w:font="Wingdings 2" w:char="00A3"/>
            </w:r>
            <w:r>
              <w:rPr>
                <w:rFonts w:hint="eastAsia"/>
                <w:kern w:val="0"/>
                <w:sz w:val="20"/>
                <w:szCs w:val="20"/>
              </w:rPr>
              <w:t xml:space="preserve">职工医保        </w:t>
            </w:r>
            <w:r>
              <w:rPr>
                <w:rFonts w:hint="eastAsia"/>
                <w:kern w:val="0"/>
                <w:sz w:val="20"/>
                <w:szCs w:val="20"/>
              </w:rPr>
              <w:sym w:font="Wingdings 2" w:char="00A3"/>
            </w:r>
            <w:r>
              <w:rPr>
                <w:rFonts w:hint="eastAsia"/>
                <w:kern w:val="0"/>
                <w:sz w:val="20"/>
                <w:szCs w:val="20"/>
              </w:rPr>
              <w:t>居民医保    其他______</w:t>
            </w:r>
          </w:p>
        </w:tc>
      </w:tr>
      <w:tr w14:paraId="4BF6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766ED74A">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家庭住址</w:t>
            </w:r>
          </w:p>
        </w:tc>
        <w:tc>
          <w:tcPr>
            <w:tcW w:w="2383" w:type="dxa"/>
          </w:tcPr>
          <w:p w14:paraId="011D75B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6F3F434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 xml:space="preserve">联系电话 </w:t>
            </w:r>
          </w:p>
        </w:tc>
        <w:tc>
          <w:tcPr>
            <w:tcW w:w="2912" w:type="dxa"/>
            <w:gridSpan w:val="2"/>
          </w:tcPr>
          <w:p w14:paraId="34C5BD74">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7491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27C4428F">
            <w:pPr>
              <w:keepNext w:val="0"/>
              <w:keepLines w:val="0"/>
              <w:pageBreakBefore w:val="0"/>
              <w:tabs>
                <w:tab w:val="left" w:pos="582"/>
              </w:tabs>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国谈药定点医疗机构</w:t>
            </w:r>
          </w:p>
        </w:tc>
        <w:tc>
          <w:tcPr>
            <w:tcW w:w="2383" w:type="dxa"/>
          </w:tcPr>
          <w:p w14:paraId="5FC151D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72EF3EC2">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国谈药定点</w:t>
            </w:r>
          </w:p>
          <w:p w14:paraId="6757D629">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零售药店</w:t>
            </w:r>
          </w:p>
        </w:tc>
        <w:tc>
          <w:tcPr>
            <w:tcW w:w="2912" w:type="dxa"/>
            <w:gridSpan w:val="2"/>
          </w:tcPr>
          <w:p w14:paraId="0CEA6C0F">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34A1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gridSpan w:val="2"/>
            <w:vAlign w:val="center"/>
          </w:tcPr>
          <w:p w14:paraId="3D1EACB4">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申请人（患者本人）签字</w:t>
            </w:r>
          </w:p>
        </w:tc>
        <w:tc>
          <w:tcPr>
            <w:tcW w:w="4719" w:type="dxa"/>
            <w:gridSpan w:val="4"/>
          </w:tcPr>
          <w:p w14:paraId="70291117">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59A5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6"/>
            <w:vAlign w:val="center"/>
          </w:tcPr>
          <w:p w14:paraId="24685C3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b/>
                <w:bCs/>
                <w:kern w:val="0"/>
                <w:sz w:val="20"/>
                <w:szCs w:val="20"/>
              </w:rPr>
              <w:t>以上内容由患者本人或监护人填写</w:t>
            </w:r>
          </w:p>
        </w:tc>
      </w:tr>
      <w:tr w14:paraId="7F2C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5DC536A1">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疾病诊断</w:t>
            </w:r>
          </w:p>
        </w:tc>
        <w:tc>
          <w:tcPr>
            <w:tcW w:w="7102" w:type="dxa"/>
            <w:gridSpan w:val="5"/>
          </w:tcPr>
          <w:p w14:paraId="1E1F7508">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r>
      <w:tr w14:paraId="0C5C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0" w:type="dxa"/>
            <w:vAlign w:val="center"/>
          </w:tcPr>
          <w:p w14:paraId="35AD2BAD">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申请使用</w:t>
            </w:r>
            <w:r>
              <w:rPr>
                <w:rFonts w:hint="eastAsia"/>
                <w:kern w:val="0"/>
                <w:sz w:val="20"/>
                <w:szCs w:val="20"/>
                <w:lang w:eastAsia="zh-CN"/>
              </w:rPr>
              <w:t>谈判药品</w:t>
            </w:r>
            <w:r>
              <w:rPr>
                <w:rFonts w:hint="eastAsia"/>
                <w:kern w:val="0"/>
                <w:sz w:val="20"/>
                <w:szCs w:val="20"/>
              </w:rPr>
              <w:t>名称</w:t>
            </w:r>
          </w:p>
        </w:tc>
        <w:tc>
          <w:tcPr>
            <w:tcW w:w="2383" w:type="dxa"/>
          </w:tcPr>
          <w:p w14:paraId="1202CBBF">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p>
        </w:tc>
        <w:tc>
          <w:tcPr>
            <w:tcW w:w="1807" w:type="dxa"/>
            <w:gridSpan w:val="2"/>
          </w:tcPr>
          <w:p w14:paraId="2FDBD8D6">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是否单独支付</w:t>
            </w:r>
          </w:p>
          <w:p w14:paraId="45F60813">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药品</w:t>
            </w:r>
          </w:p>
        </w:tc>
        <w:tc>
          <w:tcPr>
            <w:tcW w:w="2912" w:type="dxa"/>
            <w:gridSpan w:val="2"/>
            <w:vAlign w:val="center"/>
          </w:tcPr>
          <w:p w14:paraId="3F3958E5">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sym w:font="Wingdings 2" w:char="00A3"/>
            </w:r>
            <w:r>
              <w:rPr>
                <w:rFonts w:hint="eastAsia"/>
                <w:kern w:val="0"/>
                <w:sz w:val="20"/>
                <w:szCs w:val="20"/>
              </w:rPr>
              <w:t xml:space="preserve">是    </w:t>
            </w:r>
            <w:r>
              <w:rPr>
                <w:rFonts w:hint="eastAsia"/>
                <w:kern w:val="0"/>
                <w:sz w:val="20"/>
                <w:szCs w:val="20"/>
              </w:rPr>
              <w:sym w:font="Wingdings 2" w:char="00A3"/>
            </w:r>
            <w:r>
              <w:rPr>
                <w:rFonts w:hint="eastAsia"/>
                <w:kern w:val="0"/>
                <w:sz w:val="20"/>
                <w:szCs w:val="20"/>
              </w:rPr>
              <w:t>否</w:t>
            </w:r>
          </w:p>
        </w:tc>
      </w:tr>
      <w:tr w14:paraId="6D98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34BAED74">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国谈药定点医疗机构意见</w:t>
            </w:r>
          </w:p>
        </w:tc>
        <w:tc>
          <w:tcPr>
            <w:tcW w:w="7102" w:type="dxa"/>
            <w:gridSpan w:val="5"/>
          </w:tcPr>
          <w:p w14:paraId="75B98D52">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申请依据：</w:t>
            </w:r>
          </w:p>
          <w:p w14:paraId="67D80CB2">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2D70FE70">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1364975B">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 xml:space="preserve">是否符合医保限定支付范围：      </w:t>
            </w:r>
            <w:r>
              <w:rPr>
                <w:rFonts w:hint="eastAsia"/>
                <w:kern w:val="0"/>
                <w:sz w:val="20"/>
                <w:szCs w:val="20"/>
              </w:rPr>
              <w:sym w:font="Wingdings 2" w:char="00A3"/>
            </w:r>
            <w:r>
              <w:rPr>
                <w:rFonts w:hint="eastAsia"/>
                <w:kern w:val="0"/>
                <w:sz w:val="20"/>
                <w:szCs w:val="20"/>
              </w:rPr>
              <w:t xml:space="preserve">是       </w:t>
            </w:r>
            <w:r>
              <w:rPr>
                <w:rFonts w:hint="eastAsia"/>
                <w:kern w:val="0"/>
                <w:sz w:val="20"/>
                <w:szCs w:val="20"/>
              </w:rPr>
              <w:sym w:font="Wingdings 2" w:char="00A3"/>
            </w:r>
            <w:r>
              <w:rPr>
                <w:rFonts w:hint="eastAsia"/>
                <w:kern w:val="0"/>
                <w:sz w:val="20"/>
                <w:szCs w:val="20"/>
              </w:rPr>
              <w:t>否</w:t>
            </w:r>
          </w:p>
          <w:p w14:paraId="42C707E1">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45470068">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治疗方案（用法用量）：</w:t>
            </w:r>
          </w:p>
          <w:p w14:paraId="761494D4">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5DDBBBA4">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5A1259E9">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71C8C024">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复查评估周期：                    下一次复查评估日期：</w:t>
            </w:r>
          </w:p>
          <w:p w14:paraId="2DA73B8B">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789E2390">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责任医师签章：</w:t>
            </w:r>
          </w:p>
          <w:p w14:paraId="00D2BF14">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3CBD47D1">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 xml:space="preserve">医院医保办联系电话：               医院医保办盖章：                        </w:t>
            </w:r>
          </w:p>
          <w:p w14:paraId="509438AB">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年   月   日</w:t>
            </w:r>
          </w:p>
        </w:tc>
      </w:tr>
      <w:tr w14:paraId="6DF7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14:paraId="608C3FEA">
            <w:pPr>
              <w:keepNext w:val="0"/>
              <w:keepLines w:val="0"/>
              <w:pageBreakBefore w:val="0"/>
              <w:kinsoku/>
              <w:wordWrap/>
              <w:overflowPunct/>
              <w:topLinePunct w:val="0"/>
              <w:bidi w:val="0"/>
              <w:adjustRightInd/>
              <w:snapToGrid/>
              <w:ind w:left="0" w:leftChars="0" w:firstLine="0" w:firstLineChars="0"/>
              <w:jc w:val="center"/>
              <w:textAlignment w:val="auto"/>
              <w:rPr>
                <w:kern w:val="0"/>
                <w:sz w:val="20"/>
                <w:szCs w:val="20"/>
              </w:rPr>
            </w:pPr>
            <w:r>
              <w:rPr>
                <w:rFonts w:hint="eastAsia"/>
                <w:kern w:val="0"/>
                <w:sz w:val="20"/>
                <w:szCs w:val="20"/>
              </w:rPr>
              <w:t>国谈药定点零售药店意见</w:t>
            </w:r>
          </w:p>
        </w:tc>
        <w:tc>
          <w:tcPr>
            <w:tcW w:w="7102" w:type="dxa"/>
            <w:gridSpan w:val="5"/>
          </w:tcPr>
          <w:p w14:paraId="20D90E79">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 xml:space="preserve">意见：                         </w:t>
            </w:r>
          </w:p>
          <w:p w14:paraId="45F9F626">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5DB5F442">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责任药师签章：</w:t>
            </w:r>
          </w:p>
          <w:p w14:paraId="3E8C7921">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p>
          <w:p w14:paraId="68BE62AF">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 xml:space="preserve">定点零售药店联系电话：          定点零售药店盖章：     </w:t>
            </w:r>
          </w:p>
          <w:p w14:paraId="18AF2B72">
            <w:pPr>
              <w:keepNext w:val="0"/>
              <w:keepLines w:val="0"/>
              <w:pageBreakBefore w:val="0"/>
              <w:kinsoku/>
              <w:wordWrap/>
              <w:overflowPunct/>
              <w:topLinePunct w:val="0"/>
              <w:bidi w:val="0"/>
              <w:adjustRightInd/>
              <w:snapToGrid/>
              <w:ind w:left="0" w:leftChars="0" w:firstLine="0" w:firstLineChars="0"/>
              <w:jc w:val="left"/>
              <w:textAlignment w:val="auto"/>
              <w:rPr>
                <w:kern w:val="0"/>
                <w:sz w:val="20"/>
                <w:szCs w:val="20"/>
              </w:rPr>
            </w:pPr>
            <w:r>
              <w:rPr>
                <w:rFonts w:hint="eastAsia"/>
                <w:kern w:val="0"/>
                <w:sz w:val="20"/>
                <w:szCs w:val="20"/>
              </w:rPr>
              <w:t>年   月   日</w:t>
            </w:r>
          </w:p>
        </w:tc>
      </w:tr>
    </w:tbl>
    <w:p w14:paraId="07FD10FA">
      <w:pPr>
        <w:keepNext w:val="0"/>
        <w:keepLines w:val="0"/>
        <w:pageBreakBefore w:val="0"/>
        <w:kinsoku/>
        <w:wordWrap/>
        <w:overflowPunct/>
        <w:topLinePunct w:val="0"/>
        <w:bidi w:val="0"/>
        <w:adjustRightInd/>
        <w:snapToGrid/>
        <w:ind w:left="0" w:leftChars="0" w:firstLine="0" w:firstLineChars="0"/>
        <w:jc w:val="left"/>
        <w:textAlignment w:val="auto"/>
      </w:pPr>
      <w:r>
        <w:rPr>
          <w:rFonts w:hint="eastAsia"/>
        </w:rPr>
        <w:t>医保经办机构经办人：                                                 年   月  日</w:t>
      </w:r>
    </w:p>
    <w:p w14:paraId="030CB3F5">
      <w:pPr>
        <w:keepNext w:val="0"/>
        <w:keepLines w:val="0"/>
        <w:pageBreakBefore w:val="0"/>
        <w:kinsoku/>
        <w:wordWrap/>
        <w:overflowPunct/>
        <w:topLinePunct w:val="0"/>
        <w:bidi w:val="0"/>
        <w:adjustRightInd/>
        <w:snapToGrid/>
        <w:ind w:left="0" w:leftChars="0" w:firstLine="0" w:firstLineChars="0"/>
        <w:jc w:val="left"/>
        <w:textAlignment w:val="auto"/>
        <w:rPr>
          <w:sz w:val="18"/>
          <w:szCs w:val="18"/>
        </w:rPr>
      </w:pPr>
      <w:r>
        <w:rPr>
          <w:rFonts w:hint="eastAsia"/>
          <w:sz w:val="18"/>
          <w:szCs w:val="18"/>
        </w:rPr>
        <w:t>注：1.本表一式四份，其中：医保经办机构、国谈药定点医疗机构（国谈药定点零售药店）各持一份。</w:t>
      </w:r>
    </w:p>
    <w:p w14:paraId="6B5C2787">
      <w:pPr>
        <w:keepNext w:val="0"/>
        <w:keepLines w:val="0"/>
        <w:pageBreakBefore w:val="0"/>
        <w:kinsoku/>
        <w:wordWrap/>
        <w:overflowPunct/>
        <w:topLinePunct w:val="0"/>
        <w:bidi w:val="0"/>
        <w:adjustRightInd/>
        <w:snapToGrid/>
        <w:ind w:left="0" w:leftChars="0" w:firstLine="0" w:firstLineChars="0"/>
        <w:jc w:val="left"/>
        <w:textAlignment w:val="auto"/>
        <w:rPr>
          <w:sz w:val="18"/>
          <w:szCs w:val="18"/>
        </w:rPr>
      </w:pPr>
      <w:r>
        <w:rPr>
          <w:rFonts w:hint="eastAsia"/>
          <w:sz w:val="18"/>
          <w:szCs w:val="18"/>
        </w:rPr>
        <w:t xml:space="preserve">    2.报销需提供的材料：本申请表、疾病证明材料（包括出院记录或出院小结原件、门诊病历</w:t>
      </w:r>
      <w:r>
        <w:rPr>
          <w:rFonts w:hint="eastAsia"/>
          <w:sz w:val="18"/>
          <w:szCs w:val="18"/>
          <w:lang w:eastAsia="zh-CN"/>
        </w:rPr>
        <w:t>或疾病诊断证明书</w:t>
      </w:r>
      <w:r>
        <w:rPr>
          <w:rFonts w:hint="eastAsia"/>
          <w:sz w:val="18"/>
          <w:szCs w:val="18"/>
        </w:rPr>
        <w:t>、“双通道”药品处方等）、收费票据原件（含电子发票）、费用清单原件、本人社保卡（需开通金融功能，若无社保卡或社保卡未激活金额功能需要提供本人身份证及银行卡）。</w:t>
      </w:r>
    </w:p>
    <w:p w14:paraId="3D3E974D">
      <w:pPr>
        <w:autoSpaceDE w:val="0"/>
        <w:autoSpaceDN w:val="0"/>
        <w:spacing w:line="70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zh-CN"/>
        </w:rPr>
        <w:t>附件</w:t>
      </w:r>
      <w:r>
        <w:rPr>
          <w:rFonts w:hint="eastAsia" w:ascii="黑体" w:hAnsi="黑体" w:eastAsia="黑体" w:cs="黑体"/>
          <w:color w:val="000000"/>
          <w:sz w:val="32"/>
          <w:szCs w:val="32"/>
          <w:lang w:val="en-US" w:eastAsia="zh-CN"/>
        </w:rPr>
        <w:t>9:</w:t>
      </w:r>
    </w:p>
    <w:p w14:paraId="44D69943">
      <w:pPr>
        <w:keepNext w:val="0"/>
        <w:keepLines w:val="0"/>
        <w:pageBreakBefore w:val="0"/>
        <w:kinsoku/>
        <w:wordWrap/>
        <w:overflowPunct/>
        <w:topLinePunct w:val="0"/>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宁夏参保</w:t>
      </w:r>
      <w:r>
        <w:rPr>
          <w:rFonts w:hint="eastAsia" w:ascii="方正小标宋简体" w:hAnsi="方正小标宋简体" w:eastAsia="方正小标宋简体" w:cs="方正小标宋简体"/>
          <w:b w:val="0"/>
          <w:bCs w:val="0"/>
          <w:sz w:val="44"/>
          <w:szCs w:val="44"/>
          <w:lang w:eastAsia="zh-CN"/>
        </w:rPr>
        <w:t>人员</w:t>
      </w:r>
      <w:r>
        <w:rPr>
          <w:rFonts w:hint="eastAsia" w:ascii="方正小标宋简体" w:hAnsi="方正小标宋简体" w:eastAsia="方正小标宋简体" w:cs="方正小标宋简体"/>
          <w:b w:val="0"/>
          <w:bCs w:val="0"/>
          <w:sz w:val="44"/>
          <w:szCs w:val="44"/>
        </w:rPr>
        <w:t>“双通道”管理药品办理流程图</w:t>
      </w:r>
    </w:p>
    <w:p w14:paraId="53E3EBC1">
      <w:pPr>
        <w:keepNext w:val="0"/>
        <w:keepLines w:val="0"/>
        <w:pageBreakBefore w:val="0"/>
        <w:kinsoku/>
        <w:wordWrap/>
        <w:overflowPunct/>
        <w:topLinePunct w:val="0"/>
        <w:bidi w:val="0"/>
        <w:adjustRightInd/>
        <w:snapToGrid/>
        <w:ind w:left="0" w:leftChars="0" w:firstLine="0" w:firstLineChars="0"/>
        <w:textAlignment w:val="auto"/>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1605915</wp:posOffset>
                </wp:positionH>
                <wp:positionV relativeFrom="paragraph">
                  <wp:posOffset>183515</wp:posOffset>
                </wp:positionV>
                <wp:extent cx="2185035" cy="509905"/>
                <wp:effectExtent l="4445" t="4445" r="20320" b="19050"/>
                <wp:wrapNone/>
                <wp:docPr id="8" name="文本框 8"/>
                <wp:cNvGraphicFramePr/>
                <a:graphic xmlns:a="http://schemas.openxmlformats.org/drawingml/2006/main">
                  <a:graphicData uri="http://schemas.microsoft.com/office/word/2010/wordprocessingShape">
                    <wps:wsp>
                      <wps:cNvSpPr txBox="1"/>
                      <wps:spPr>
                        <a:xfrm>
                          <a:off x="2941955" y="1872615"/>
                          <a:ext cx="2185035" cy="509905"/>
                        </a:xfrm>
                        <a:prstGeom prst="rect">
                          <a:avLst/>
                        </a:prstGeom>
                        <a:solidFill>
                          <a:srgbClr val="FFFFFF"/>
                        </a:solidFill>
                        <a:ln w="6350">
                          <a:solidFill>
                            <a:prstClr val="black"/>
                          </a:solidFill>
                        </a:ln>
                        <a:effectLst/>
                      </wps:spPr>
                      <wps:txbx>
                        <w:txbxContent>
                          <w:p w14:paraId="4E6C2FE4">
                            <w:pPr>
                              <w:spacing w:line="26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参保患者到国谈药定点医疗机构医保责任医师处就诊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45pt;margin-top:14.45pt;height:40.15pt;width:172.05pt;z-index:251659264;mso-width-relative:page;mso-height-relative:page;" fillcolor="#FFFFFF" filled="t" stroked="t" coordsize="21600,21600" o:gfxdata="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z7kKdYAAAAKAQAADwAAAAAAAAABACAAAAAiAAAAZHJzL2Rvd25yZXYueG1s&#10;UEsBAhQAFAAAAAgAh07iQEj3yHVsAgAA0QQAAA4AAAAAAAAAAQAgAAAAJQEAAGRycy9lMm9Eb2Mu&#10;eG1sUEsFBgAAAAAGAAYAWQEAAAMGAAAAAA==&#10;">
                <v:fill on="t" focussize="0,0"/>
                <v:stroke weight="0.5pt" color="#000000" joinstyle="round"/>
                <v:imagedata o:title=""/>
                <o:lock v:ext="edit" aspectratio="f"/>
                <v:textbox>
                  <w:txbxContent>
                    <w:p w14:paraId="4E6C2FE4">
                      <w:pPr>
                        <w:spacing w:line="26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参保患者到国谈药定点医疗机构医保责任医师处就诊</w:t>
                      </w:r>
                    </w:p>
                  </w:txbxContent>
                </v:textbox>
              </v:shape>
            </w:pict>
          </mc:Fallback>
        </mc:AlternateContent>
      </w:r>
    </w:p>
    <w:p w14:paraId="4EEB9652">
      <w:pPr>
        <w:keepNext w:val="0"/>
        <w:keepLines w:val="0"/>
        <w:pageBreakBefore w:val="0"/>
        <w:kinsoku/>
        <w:wordWrap/>
        <w:overflowPunct/>
        <w:topLinePunct w:val="0"/>
        <w:bidi w:val="0"/>
        <w:adjustRightInd/>
        <w:snapToGrid/>
        <w:ind w:left="0" w:leftChars="0" w:firstLine="0" w:firstLineChars="0"/>
        <w:textAlignment w:val="auto"/>
      </w:pPr>
    </w:p>
    <w:p w14:paraId="71332425">
      <w:pPr>
        <w:keepNext w:val="0"/>
        <w:keepLines w:val="0"/>
        <w:pageBreakBefore w:val="0"/>
        <w:kinsoku/>
        <w:wordWrap/>
        <w:overflowPunct/>
        <w:topLinePunct w:val="0"/>
        <w:bidi w:val="0"/>
        <w:adjustRightInd/>
        <w:snapToGrid/>
        <w:ind w:left="0" w:leftChars="0" w:firstLine="0" w:firstLineChars="0"/>
        <w:textAlignment w:val="auto"/>
      </w:pPr>
      <w:r>
        <mc:AlternateContent>
          <mc:Choice Requires="wps">
            <w:drawing>
              <wp:anchor distT="0" distB="0" distL="114300" distR="114300" simplePos="0" relativeHeight="251670528" behindDoc="0" locked="0" layoutInCell="1" allowOverlap="1">
                <wp:simplePos x="0" y="0"/>
                <wp:positionH relativeFrom="column">
                  <wp:posOffset>2698750</wp:posOffset>
                </wp:positionH>
                <wp:positionV relativeFrom="paragraph">
                  <wp:posOffset>99060</wp:posOffset>
                </wp:positionV>
                <wp:extent cx="14605" cy="459105"/>
                <wp:effectExtent l="37465" t="0" r="62230" b="17145"/>
                <wp:wrapNone/>
                <wp:docPr id="19" name="直接箭头连接符 19"/>
                <wp:cNvGraphicFramePr/>
                <a:graphic xmlns:a="http://schemas.openxmlformats.org/drawingml/2006/main">
                  <a:graphicData uri="http://schemas.microsoft.com/office/word/2010/wordprocessingShape">
                    <wps:wsp>
                      <wps:cNvCnPr/>
                      <wps:spPr>
                        <a:xfrm>
                          <a:off x="3856355" y="2382520"/>
                          <a:ext cx="14605" cy="4591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12.5pt;margin-top:7.8pt;height:36.15pt;width:1.15pt;z-index:251670528;mso-width-relative:page;mso-height-relative:page;" filled="f" stroked="t" coordsize="21600,21600" o:gfxdata="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gMnB7ZAAAACQEA&#10;AA8AAAAAAAAAAQAgAAAAIgAAAGRycy9kb3ducmV2LnhtbFBLAQIUABQAAAAIAIdO4kCjdDKsGQIA&#10;AP0DAAAOAAAAAAAAAAEAIAAAACgBAABkcnMvZTJvRG9jLnhtbFBLBQYAAAAABgAGAFkBAACzBQAA&#10;AAA=&#10;">
                <v:fill on="f" focussize="0,0"/>
                <v:stroke weight="0.5pt" color="#000000" miterlimit="8" joinstyle="miter" endarrow="open"/>
                <v:imagedata o:title=""/>
                <o:lock v:ext="edit" aspectratio="f"/>
              </v:shape>
            </w:pict>
          </mc:Fallback>
        </mc:AlternateContent>
      </w:r>
    </w:p>
    <w:p w14:paraId="2BFB6FCE">
      <w:pPr>
        <w:spacing w:line="260" w:lineRule="exact"/>
        <w:jc w:val="center"/>
        <w:rPr>
          <w:rFonts w:hint="eastAsia" w:ascii="仿宋" w:hAnsi="仿宋" w:eastAsia="仿宋" w:cs="仿宋"/>
          <w:color w:val="000000" w:themeColor="text1"/>
          <w:sz w:val="15"/>
          <w:szCs w:val="15"/>
          <w14:textFill>
            <w14:solidFill>
              <w14:schemeClr w14:val="tx1"/>
            </w14:solidFill>
          </w14:textFill>
        </w:rPr>
      </w:pPr>
      <w:r>
        <w:rPr>
          <w:rFonts w:hint="eastAsia"/>
        </w:rPr>
        <w:tab/>
      </w:r>
      <w:r>
        <w:rPr>
          <w:rFonts w:hint="eastAsia"/>
        </w:rPr>
        <w:t xml:space="preserve">             </w:t>
      </w:r>
      <w:r>
        <w:rPr>
          <w:rFonts w:hint="eastAsia" w:ascii="仿宋" w:hAnsi="仿宋" w:eastAsia="仿宋" w:cs="仿宋"/>
          <w:color w:val="000000" w:themeColor="text1"/>
          <w:sz w:val="15"/>
          <w:szCs w:val="15"/>
          <w14:textFill>
            <w14:solidFill>
              <w14:schemeClr w14:val="tx1"/>
            </w14:solidFill>
          </w14:textFill>
        </w:rPr>
        <w:t>经诊断需使用“双通道”</w:t>
      </w:r>
    </w:p>
    <w:p w14:paraId="5188D13F">
      <w:pPr>
        <w:spacing w:line="260" w:lineRule="exact"/>
        <w:jc w:val="center"/>
        <w:rPr>
          <w:rFonts w:hint="eastAsia"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lang w:val="en-US" w:eastAsia="zh-CN"/>
          <w14:textFill>
            <w14:solidFill>
              <w14:schemeClr w14:val="tx1"/>
            </w14:solidFill>
          </w14:textFill>
        </w:rPr>
        <w:t xml:space="preserve">            </w:t>
      </w:r>
      <w:r>
        <w:rPr>
          <w:rFonts w:hint="eastAsia" w:ascii="仿宋" w:hAnsi="仿宋" w:eastAsia="仿宋" w:cs="仿宋"/>
          <w:color w:val="000000" w:themeColor="text1"/>
          <w:sz w:val="15"/>
          <w:szCs w:val="15"/>
          <w14:textFill>
            <w14:solidFill>
              <w14:schemeClr w14:val="tx1"/>
            </w14:solidFill>
          </w14:textFill>
        </w:rPr>
        <w:t>管理药品的</w:t>
      </w:r>
    </w:p>
    <w:p w14:paraId="5A5CB15B">
      <w:pPr>
        <w:keepNext w:val="0"/>
        <w:keepLines w:val="0"/>
        <w:pageBreakBefore w:val="0"/>
        <w:tabs>
          <w:tab w:val="left" w:pos="5473"/>
        </w:tabs>
        <w:kinsoku/>
        <w:wordWrap/>
        <w:overflowPunct/>
        <w:topLinePunct w:val="0"/>
        <w:bidi w:val="0"/>
        <w:adjustRightInd/>
        <w:snapToGrid/>
        <w:ind w:left="0" w:leftChars="0" w:firstLine="0" w:firstLineChars="0"/>
        <w:jc w:val="left"/>
        <w:textAlignment w:val="auto"/>
      </w:pPr>
      <w:r>
        <w:rPr>
          <w:sz w:val="36"/>
        </w:rPr>
        <mc:AlternateContent>
          <mc:Choice Requires="wps">
            <w:drawing>
              <wp:anchor distT="0" distB="0" distL="114300" distR="114300" simplePos="0" relativeHeight="251688960" behindDoc="0" locked="0" layoutInCell="1" allowOverlap="1">
                <wp:simplePos x="0" y="0"/>
                <wp:positionH relativeFrom="column">
                  <wp:posOffset>836930</wp:posOffset>
                </wp:positionH>
                <wp:positionV relativeFrom="paragraph">
                  <wp:posOffset>3888740</wp:posOffset>
                </wp:positionV>
                <wp:extent cx="358140" cy="8890"/>
                <wp:effectExtent l="0" t="46990" r="3810" b="58420"/>
                <wp:wrapNone/>
                <wp:docPr id="40" name="直接箭头连接符 40"/>
                <wp:cNvGraphicFramePr/>
                <a:graphic xmlns:a="http://schemas.openxmlformats.org/drawingml/2006/main">
                  <a:graphicData uri="http://schemas.microsoft.com/office/word/2010/wordprocessingShape">
                    <wps:wsp>
                      <wps:cNvCnPr/>
                      <wps:spPr>
                        <a:xfrm flipV="1">
                          <a:off x="1979930" y="6718300"/>
                          <a:ext cx="358140" cy="889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65.9pt;margin-top:306.2pt;height:0.7pt;width:28.2pt;z-index:251688960;mso-width-relative:page;mso-height-relative:page;" filled="f" stroked="t" coordsize="21600,21600" o:gfxdata="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9n+I2AAA&#10;AAsBAAAPAAAAAAAAAAEAIAAAACIAAABkcnMvZG93bnJldi54bWxQSwECFAAUAAAACACHTuJANSom&#10;VR4CAAAGBAAADgAAAAAAAAABACAAAAAnAQAAZHJzL2Uyb0RvYy54bWxQSwUGAAAAAAYABgBZAQAA&#10;twU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7936" behindDoc="0" locked="0" layoutInCell="1" allowOverlap="1">
                <wp:simplePos x="0" y="0"/>
                <wp:positionH relativeFrom="column">
                  <wp:posOffset>1206500</wp:posOffset>
                </wp:positionH>
                <wp:positionV relativeFrom="paragraph">
                  <wp:posOffset>2616835</wp:posOffset>
                </wp:positionV>
                <wp:extent cx="890905" cy="0"/>
                <wp:effectExtent l="0" t="48895" r="4445" b="65405"/>
                <wp:wrapNone/>
                <wp:docPr id="39" name="直接箭头连接符 39"/>
                <wp:cNvGraphicFramePr/>
                <a:graphic xmlns:a="http://schemas.openxmlformats.org/drawingml/2006/main">
                  <a:graphicData uri="http://schemas.microsoft.com/office/word/2010/wordprocessingShape">
                    <wps:wsp>
                      <wps:cNvCnPr/>
                      <wps:spPr>
                        <a:xfrm>
                          <a:off x="2349500" y="5446395"/>
                          <a:ext cx="89090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95pt;margin-top:206.05pt;height:0pt;width:70.15pt;z-index:251687936;mso-width-relative:page;mso-height-relative:page;" filled="f" stroked="t" coordsize="21600,21600" o:gfxdata="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RWzgDYAAAACwEAAA8A&#10;AAAAAAAAAQAgAAAAIgAAAGRycy9kb3ducmV2LnhtbFBLAQIUABQAAAAIAIdO4kAawKzhFwIAAPkD&#10;AAAOAAAAAAAAAAEAIAAAACcBAABkcnMvZTJvRG9jLnhtbFBLBQYAAAAABgAGAFkBAACwBQ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6912" behindDoc="0" locked="0" layoutInCell="1" allowOverlap="1">
                <wp:simplePos x="0" y="0"/>
                <wp:positionH relativeFrom="column">
                  <wp:posOffset>1183005</wp:posOffset>
                </wp:positionH>
                <wp:positionV relativeFrom="paragraph">
                  <wp:posOffset>2604770</wp:posOffset>
                </wp:positionV>
                <wp:extent cx="17780" cy="2726055"/>
                <wp:effectExtent l="4445" t="0" r="15875" b="17145"/>
                <wp:wrapNone/>
                <wp:docPr id="38" name="直接连接符 38"/>
                <wp:cNvGraphicFramePr/>
                <a:graphic xmlns:a="http://schemas.openxmlformats.org/drawingml/2006/main">
                  <a:graphicData uri="http://schemas.microsoft.com/office/word/2010/wordprocessingShape">
                    <wps:wsp>
                      <wps:cNvCnPr/>
                      <wps:spPr>
                        <a:xfrm flipV="1">
                          <a:off x="2326005" y="5434330"/>
                          <a:ext cx="17780" cy="27260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93.15pt;margin-top:205.1pt;height:214.65pt;width:1.4pt;z-index:251686912;mso-width-relative:page;mso-height-relative:page;" filled="f" stroked="t" coordsize="21600,21600" o:gfxdata="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xAludgAAAALAQAADwAAAAAAAAABACAAAAAiAAAAZHJzL2Rv&#10;d25yZXYueG1sUEsBAhQAFAAAAAgAh07iQPNuoSMBAgAA2wMAAA4AAAAAAAAAAQAgAAAAJwEAAGRy&#10;cy9lMm9Eb2MueG1sUEsFBgAAAAAGAAYAWQEAAJoFAAAAAA==&#10;">
                <v:fill on="f" focussize="0,0"/>
                <v:stroke weight="0.5pt" color="#000000" miterlimit="8" joinstyle="miter"/>
                <v:imagedata o:title=""/>
                <o:lock v:ext="edit" aspectratio="f"/>
              </v:line>
            </w:pict>
          </mc:Fallback>
        </mc:AlternateContent>
      </w:r>
      <w:r>
        <w:rPr>
          <w:sz w:val="36"/>
        </w:rPr>
        <mc:AlternateContent>
          <mc:Choice Requires="wps">
            <w:drawing>
              <wp:anchor distT="0" distB="0" distL="114300" distR="114300" simplePos="0" relativeHeight="251685888" behindDoc="0" locked="0" layoutInCell="1" allowOverlap="1">
                <wp:simplePos x="0" y="0"/>
                <wp:positionH relativeFrom="column">
                  <wp:posOffset>1200785</wp:posOffset>
                </wp:positionH>
                <wp:positionV relativeFrom="paragraph">
                  <wp:posOffset>5318760</wp:posOffset>
                </wp:positionV>
                <wp:extent cx="200025" cy="8255"/>
                <wp:effectExtent l="0" t="0" r="0" b="0"/>
                <wp:wrapNone/>
                <wp:docPr id="37" name="直接连接符 37"/>
                <wp:cNvGraphicFramePr/>
                <a:graphic xmlns:a="http://schemas.openxmlformats.org/drawingml/2006/main">
                  <a:graphicData uri="http://schemas.microsoft.com/office/word/2010/wordprocessingShape">
                    <wps:wsp>
                      <wps:cNvCnPr>
                        <a:stCxn id="17" idx="1"/>
                      </wps:cNvCnPr>
                      <wps:spPr>
                        <a:xfrm flipH="1" flipV="1">
                          <a:off x="2543810" y="8156575"/>
                          <a:ext cx="200025"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94.55pt;margin-top:418.8pt;height:0.65pt;width:15.75pt;z-index:251685888;mso-width-relative:page;mso-height-relative:page;" filled="f" stroked="t" coordsize="21600,21600" o:gfxdata="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9kC6dkAAAALAQAADwAAAAAA&#10;AAABACAAAAAiAAAAZHJzL2Rvd25yZXYueG1sUEsBAhQAFAAAAAgAh07iQCV+yzASAgAACgQAAA4A&#10;AAAAAAAAAQAgAAAAKAEAAGRycy9lMm9Eb2MueG1sUEsFBgAAAAAGAAYAWQEAAKwFAAAAAA==&#10;">
                <v:fill on="f" focussize="0,0"/>
                <v:stroke weight="0.5pt" color="#000000" miterlimit="8" joinstyle="miter"/>
                <v:imagedata o:title=""/>
                <o:lock v:ext="edit" aspectratio="f"/>
              </v:line>
            </w:pict>
          </mc:Fallback>
        </mc:AlternateContent>
      </w:r>
      <w:r>
        <w:rPr>
          <w:sz w:val="36"/>
        </w:rPr>
        <mc:AlternateContent>
          <mc:Choice Requires="wps">
            <w:drawing>
              <wp:anchor distT="0" distB="0" distL="114300" distR="114300" simplePos="0" relativeHeight="251680768" behindDoc="0" locked="0" layoutInCell="1" allowOverlap="1">
                <wp:simplePos x="0" y="0"/>
                <wp:positionH relativeFrom="column">
                  <wp:posOffset>4360545</wp:posOffset>
                </wp:positionH>
                <wp:positionV relativeFrom="paragraph">
                  <wp:posOffset>639445</wp:posOffset>
                </wp:positionV>
                <wp:extent cx="5715" cy="205740"/>
                <wp:effectExtent l="45720" t="0" r="62865" b="3810"/>
                <wp:wrapNone/>
                <wp:docPr id="32" name="直接箭头连接符 32"/>
                <wp:cNvGraphicFramePr/>
                <a:graphic xmlns:a="http://schemas.openxmlformats.org/drawingml/2006/main">
                  <a:graphicData uri="http://schemas.microsoft.com/office/word/2010/wordprocessingShape">
                    <wps:wsp>
                      <wps:cNvCnPr/>
                      <wps:spPr>
                        <a:xfrm>
                          <a:off x="5497195" y="3456940"/>
                          <a:ext cx="5715" cy="2057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43.35pt;margin-top:50.35pt;height:16.2pt;width:0.45pt;z-index:251680768;mso-width-relative:page;mso-height-relative:page;" filled="f" stroked="t" coordsize="21600,21600" o:gfxdata="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NmEBzZAAAACwEA&#10;AA8AAAAAAAAAAQAgAAAAIgAAAGRycy9kb3ducmV2LnhtbFBLAQIUABQAAAAIAIdO4kBUvgfuGQIA&#10;APwDAAAOAAAAAAAAAAEAIAAAACgBAABkcnMvZTJvRG9jLnhtbFBLBQYAAAAABgAGAFkBAACzBQAA&#10;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4864" behindDoc="0" locked="0" layoutInCell="1" allowOverlap="1">
                <wp:simplePos x="0" y="0"/>
                <wp:positionH relativeFrom="column">
                  <wp:posOffset>2009775</wp:posOffset>
                </wp:positionH>
                <wp:positionV relativeFrom="paragraph">
                  <wp:posOffset>1536065</wp:posOffset>
                </wp:positionV>
                <wp:extent cx="5715" cy="227965"/>
                <wp:effectExtent l="46990" t="0" r="61595" b="635"/>
                <wp:wrapNone/>
                <wp:docPr id="36" name="直接箭头连接符 36"/>
                <wp:cNvGraphicFramePr/>
                <a:graphic xmlns:a="http://schemas.openxmlformats.org/drawingml/2006/main">
                  <a:graphicData uri="http://schemas.microsoft.com/office/word/2010/wordprocessingShape">
                    <wps:wsp>
                      <wps:cNvCnPr/>
                      <wps:spPr>
                        <a:xfrm flipH="1">
                          <a:off x="3169920" y="4377690"/>
                          <a:ext cx="5715" cy="22796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58.25pt;margin-top:120.95pt;height:17.95pt;width:0.45pt;z-index:251684864;mso-width-relative:page;mso-height-relative:page;" filled="f" stroked="t" coordsize="21600,21600" o:gfxdata="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X3tRNsAAAALAQAADwAAAAAAAAABACAAAAAiAAAAZHJzL2Rvd25yZXYueG1sUEsBAhQAFAAAAAgA&#10;h07iQDYwIaMiAgAABgQAAA4AAAAAAAAAAQAgAAAAKgEAAGRycy9lMm9Eb2MueG1sUEsFBgAAAAAG&#10;AAYAWQEAAL4FA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3840" behindDoc="0" locked="0" layoutInCell="1" allowOverlap="1">
                <wp:simplePos x="0" y="0"/>
                <wp:positionH relativeFrom="column">
                  <wp:posOffset>977900</wp:posOffset>
                </wp:positionH>
                <wp:positionV relativeFrom="paragraph">
                  <wp:posOffset>1524635</wp:posOffset>
                </wp:positionV>
                <wp:extent cx="3060065" cy="17780"/>
                <wp:effectExtent l="0" t="4445" r="6985" b="6350"/>
                <wp:wrapNone/>
                <wp:docPr id="35" name="直接连接符 35"/>
                <wp:cNvGraphicFramePr/>
                <a:graphic xmlns:a="http://schemas.openxmlformats.org/drawingml/2006/main">
                  <a:graphicData uri="http://schemas.microsoft.com/office/word/2010/wordprocessingShape">
                    <wps:wsp>
                      <wps:cNvCnPr/>
                      <wps:spPr>
                        <a:xfrm flipV="1">
                          <a:off x="2132965" y="4289425"/>
                          <a:ext cx="3060065" cy="1778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7pt;margin-top:120.05pt;height:1.4pt;width:240.95pt;z-index:251683840;mso-width-relative:page;mso-height-relative:page;" filled="f" stroked="t" coordsize="21600,21600" o:gfxdata="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zOtgAAAALAQAADwAAAAAAAAABACAAAAAiAAAAZHJz&#10;L2Rvd25yZXYueG1sUEsBAhQAFAAAAAgAh07iQLolCTAEAgAA2wMAAA4AAAAAAAAAAQAgAAAAJwEA&#10;AGRycy9lMm9Eb2MueG1sUEsFBgAAAAAGAAYAWQEAAJ0FAAAAAA==&#10;">
                <v:fill on="f" focussize="0,0"/>
                <v:stroke weight="0.5pt" color="#000000" miterlimit="8" joinstyle="miter"/>
                <v:imagedata o:title=""/>
                <o:lock v:ext="edit" aspectratio="f"/>
              </v:line>
            </w:pict>
          </mc:Fallback>
        </mc:AlternateContent>
      </w:r>
      <w:r>
        <w:rPr>
          <w:sz w:val="36"/>
        </w:rPr>
        <mc:AlternateContent>
          <mc:Choice Requires="wps">
            <w:drawing>
              <wp:anchor distT="0" distB="0" distL="114300" distR="114300" simplePos="0" relativeHeight="251674624" behindDoc="0" locked="0" layoutInCell="1" allowOverlap="1">
                <wp:simplePos x="0" y="0"/>
                <wp:positionH relativeFrom="column">
                  <wp:posOffset>3108325</wp:posOffset>
                </wp:positionH>
                <wp:positionV relativeFrom="paragraph">
                  <wp:posOffset>2044700</wp:posOffset>
                </wp:positionV>
                <wp:extent cx="301625" cy="1905"/>
                <wp:effectExtent l="0" t="48895" r="3175" b="63500"/>
                <wp:wrapNone/>
                <wp:docPr id="23" name="直接箭头连接符 23"/>
                <wp:cNvGraphicFramePr/>
                <a:graphic xmlns:a="http://schemas.openxmlformats.org/drawingml/2006/main">
                  <a:graphicData uri="http://schemas.microsoft.com/office/word/2010/wordprocessingShape">
                    <wps:wsp>
                      <wps:cNvCnPr/>
                      <wps:spPr>
                        <a:xfrm flipH="1" flipV="1">
                          <a:off x="4246245" y="5046345"/>
                          <a:ext cx="30162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 y;margin-left:244.75pt;margin-top:161pt;height:0.15pt;width:23.75pt;z-index:251674624;mso-width-relative:page;mso-height-relative:page;" filled="f" stroked="t" coordsize="21600,21600" o:gfxdata="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y5MPdgAAAALAQAADwAAAAAAAAABACAAAAAiAAAAZHJzL2Rvd25yZXYueG1sUEsBAhQAFAAAAAgA&#10;h07iQJ9rOOclAgAAEAQAAA4AAAAAAAAAAQAgAAAAJwEAAGRycy9lMm9Eb2MueG1sUEsFBgAAAAAG&#10;AAYAWQEAAL4FA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3411220</wp:posOffset>
                </wp:positionH>
                <wp:positionV relativeFrom="paragraph">
                  <wp:posOffset>1756410</wp:posOffset>
                </wp:positionV>
                <wp:extent cx="1998980" cy="563245"/>
                <wp:effectExtent l="4445" t="4445" r="15875" b="22860"/>
                <wp:wrapNone/>
                <wp:docPr id="13" name="文本框 13"/>
                <wp:cNvGraphicFramePr/>
                <a:graphic xmlns:a="http://schemas.openxmlformats.org/drawingml/2006/main">
                  <a:graphicData uri="http://schemas.microsoft.com/office/word/2010/wordprocessingShape">
                    <wps:wsp>
                      <wps:cNvSpPr txBox="1"/>
                      <wps:spPr>
                        <a:xfrm>
                          <a:off x="4125595" y="4741545"/>
                          <a:ext cx="1998980" cy="563245"/>
                        </a:xfrm>
                        <a:prstGeom prst="rect">
                          <a:avLst/>
                        </a:prstGeom>
                        <a:solidFill>
                          <a:srgbClr val="FFFFFF"/>
                        </a:solidFill>
                        <a:ln w="6350">
                          <a:solidFill>
                            <a:prstClr val="black"/>
                          </a:solidFill>
                        </a:ln>
                        <a:effectLst/>
                      </wps:spPr>
                      <wps:txbx>
                        <w:txbxContent>
                          <w:p w14:paraId="10E9FB98">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对材料不完整的，一次性告知补充完善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6pt;margin-top:138.3pt;height:44.35pt;width:157.4pt;z-index:251664384;mso-width-relative:page;mso-height-relative:page;" fillcolor="#FFFFFF" filled="t" stroked="t" coordsize="21600,21600" o:gfxdata="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QF+Jw2AAAAAsBAAAPAAAAAAAAAAEAIAAAACIAAABkcnMvZG93bnJldi54&#10;bWxQSwECFAAUAAAACACHTuJA2wYmxGwCAADTBAAADgAAAAAAAAABACAAAAAnAQAAZHJzL2Uyb0Rv&#10;Yy54bWxQSwUGAAAAAAYABgBZAQAABQYAAAAA&#10;">
                <v:fill on="t" focussize="0,0"/>
                <v:stroke weight="0.5pt" color="#000000" joinstyle="round"/>
                <v:imagedata o:title=""/>
                <o:lock v:ext="edit" aspectratio="f"/>
                <v:textbox>
                  <w:txbxContent>
                    <w:p w14:paraId="10E9FB98">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对材料不完整的，一次性告知补充完善</w:t>
                      </w:r>
                    </w:p>
                  </w:txbxContent>
                </v:textbox>
              </v:shape>
            </w:pict>
          </mc:Fallback>
        </mc:AlternateContent>
      </w:r>
      <w:r>
        <w:rPr>
          <w:sz w:val="36"/>
        </w:rPr>
        <mc:AlternateContent>
          <mc:Choice Requires="wps">
            <w:drawing>
              <wp:anchor distT="0" distB="0" distL="114300" distR="114300" simplePos="0" relativeHeight="251682816" behindDoc="0" locked="0" layoutInCell="1" allowOverlap="1">
                <wp:simplePos x="0" y="0"/>
                <wp:positionH relativeFrom="column">
                  <wp:posOffset>4049395</wp:posOffset>
                </wp:positionH>
                <wp:positionV relativeFrom="paragraph">
                  <wp:posOffset>1348740</wp:posOffset>
                </wp:positionV>
                <wp:extent cx="0" cy="181610"/>
                <wp:effectExtent l="4445" t="0" r="14605" b="8890"/>
                <wp:wrapNone/>
                <wp:docPr id="34" name="直接连接符 34"/>
                <wp:cNvGraphicFramePr/>
                <a:graphic xmlns:a="http://schemas.openxmlformats.org/drawingml/2006/main">
                  <a:graphicData uri="http://schemas.microsoft.com/office/word/2010/wordprocessingShape">
                    <wps:wsp>
                      <wps:cNvCnPr/>
                      <wps:spPr>
                        <a:xfrm>
                          <a:off x="5186680" y="4160520"/>
                          <a:ext cx="0" cy="1816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18.85pt;margin-top:106.2pt;height:14.3pt;width:0pt;z-index:251682816;mso-width-relative:page;mso-height-relative:page;" filled="f" stroked="t" coordsize="21600,21600" o:gfxdata="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6MK1wAAAAsBAAAPAAAAAAAAAAEAIAAAACIAAABkcnMvZG93bnJldi54bWxQSwEC&#10;FAAUAAAACACHTuJAHQJCjPUBAADMAwAADgAAAAAAAAABACAAAAAmAQAAZHJzL2Uyb0RvYy54bWxQ&#10;SwUGAAAAAAYABgBZAQAAjQUAAAAA&#10;">
                <v:fill on="f" focussize="0,0"/>
                <v:stroke weight="0.5pt" color="#000000" miterlimit="8" joinstyle="miter"/>
                <v:imagedata o:title=""/>
                <o:lock v:ext="edit" aspectratio="f"/>
              </v:line>
            </w:pict>
          </mc:Fallback>
        </mc:AlternateContent>
      </w:r>
      <w:r>
        <w:rPr>
          <w:sz w:val="36"/>
        </w:rPr>
        <mc:AlternateContent>
          <mc:Choice Requires="wps">
            <w:drawing>
              <wp:anchor distT="0" distB="0" distL="114300" distR="114300" simplePos="0" relativeHeight="251681792" behindDoc="0" locked="0" layoutInCell="1" allowOverlap="1">
                <wp:simplePos x="0" y="0"/>
                <wp:positionH relativeFrom="column">
                  <wp:posOffset>989330</wp:posOffset>
                </wp:positionH>
                <wp:positionV relativeFrom="paragraph">
                  <wp:posOffset>1372235</wp:posOffset>
                </wp:positionV>
                <wp:extent cx="635" cy="175895"/>
                <wp:effectExtent l="4445" t="0" r="13970" b="14605"/>
                <wp:wrapNone/>
                <wp:docPr id="33" name="直接连接符 33"/>
                <wp:cNvGraphicFramePr/>
                <a:graphic xmlns:a="http://schemas.openxmlformats.org/drawingml/2006/main">
                  <a:graphicData uri="http://schemas.microsoft.com/office/word/2010/wordprocessingShape">
                    <wps:wsp>
                      <wps:cNvCnPr>
                        <a:stCxn id="10" idx="2"/>
                      </wps:cNvCnPr>
                      <wps:spPr>
                        <a:xfrm>
                          <a:off x="2132330" y="4201795"/>
                          <a:ext cx="635" cy="1758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7.9pt;margin-top:108.05pt;height:13.85pt;width:0.05pt;z-index:251681792;mso-width-relative:page;mso-height-relative:page;" filled="f" stroked="t" coordsize="21600,21600" o:gfxdata="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4RqbrYAAAACwEAAA8AAAAAAAAAAQAgAAAAIgAAAGRy&#10;cy9kb3ducmV2LnhtbFBLAQIUABQAAAAIAIdO4kCNcVL0BQIAAPUDAAAOAAAAAAAAAAEAIAAAACcB&#10;AABkcnMvZTJvRG9jLnhtbFBLBQYAAAAABgAGAFkBAACeBQAAAAA=&#10;">
                <v:fill on="f" focussize="0,0"/>
                <v:stroke weight="0.5pt" color="#000000" miterlimit="8" joinstyle="miter"/>
                <v:imagedata o:title=""/>
                <o:lock v:ext="edit" aspectratio="f"/>
              </v:line>
            </w:pict>
          </mc:Fallback>
        </mc:AlternateContent>
      </w:r>
      <w:r>
        <w:rPr>
          <w:sz w:val="36"/>
        </w:rPr>
        <mc:AlternateContent>
          <mc:Choice Requires="wps">
            <w:drawing>
              <wp:anchor distT="0" distB="0" distL="114300" distR="114300" simplePos="0" relativeHeight="251679744" behindDoc="0" locked="0" layoutInCell="1" allowOverlap="1">
                <wp:simplePos x="0" y="0"/>
                <wp:positionH relativeFrom="column">
                  <wp:posOffset>986790</wp:posOffset>
                </wp:positionH>
                <wp:positionV relativeFrom="paragraph">
                  <wp:posOffset>650875</wp:posOffset>
                </wp:positionV>
                <wp:extent cx="3175" cy="215265"/>
                <wp:effectExtent l="47625" t="0" r="63500" b="13335"/>
                <wp:wrapNone/>
                <wp:docPr id="1" name="自选图形 22"/>
                <wp:cNvGraphicFramePr/>
                <a:graphic xmlns:a="http://schemas.openxmlformats.org/drawingml/2006/main">
                  <a:graphicData uri="http://schemas.microsoft.com/office/word/2010/wordprocessingShape">
                    <wps:wsp>
                      <wps:cNvCnPr/>
                      <wps:spPr>
                        <a:xfrm flipH="1">
                          <a:off x="0" y="0"/>
                          <a:ext cx="3175" cy="2152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22" o:spid="_x0000_s1026" o:spt="32" type="#_x0000_t32" style="position:absolute;left:0pt;flip:x;margin-left:77.7pt;margin-top:51.25pt;height:16.95pt;width:0.25pt;z-index:251679744;mso-width-relative:page;mso-height-relative:page;" filled="f" stroked="t" coordsize="21600,21600" o:gfxdata="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wJ2QAAAAsBAAAPAAAAAAAAAAEAIAAAACIA&#10;AABkcnMvZG93bnJldi54bWxQSwECFAAUAAAACACHTuJAiyeHIAgCAAD7AwAADgAAAAAAAAABACAA&#10;AAAoAQAAZHJzL2Uyb0RvYy54bWxQSwUGAAAAAAYABgBZAQAAogUAAAAA&#10;">
                <v:fill on="f" focussize="0,0"/>
                <v:stroke weight="0.5pt" color="#000000" joinstyle="miter" endarrow="open"/>
                <v:imagedata o:title=""/>
                <o:lock v:ext="edit" aspectratio="f"/>
              </v:shape>
            </w:pict>
          </mc:Fallback>
        </mc:AlternateContent>
      </w:r>
      <w:r>
        <w:rPr>
          <w:sz w:val="36"/>
        </w:rPr>
        <mc:AlternateContent>
          <mc:Choice Requires="wps">
            <w:drawing>
              <wp:anchor distT="0" distB="0" distL="114300" distR="114300" simplePos="0" relativeHeight="251678720" behindDoc="0" locked="0" layoutInCell="1" allowOverlap="1">
                <wp:simplePos x="0" y="0"/>
                <wp:positionH relativeFrom="column">
                  <wp:posOffset>989965</wp:posOffset>
                </wp:positionH>
                <wp:positionV relativeFrom="paragraph">
                  <wp:posOffset>633095</wp:posOffset>
                </wp:positionV>
                <wp:extent cx="3370580" cy="29845"/>
                <wp:effectExtent l="0" t="4445" r="1270" b="22860"/>
                <wp:wrapNone/>
                <wp:docPr id="30" name="直接连接符 30"/>
                <wp:cNvGraphicFramePr/>
                <a:graphic xmlns:a="http://schemas.openxmlformats.org/drawingml/2006/main">
                  <a:graphicData uri="http://schemas.microsoft.com/office/word/2010/wordprocessingShape">
                    <wps:wsp>
                      <wps:cNvCnPr/>
                      <wps:spPr>
                        <a:xfrm flipV="1">
                          <a:off x="2179955" y="3533140"/>
                          <a:ext cx="3370580" cy="298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7.95pt;margin-top:49.85pt;height:2.35pt;width:265.4pt;z-index:251678720;mso-width-relative:page;mso-height-relative:page;" filled="f" stroked="t" coordsize="21600,21600" o:gfxdata="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l3KL9cAAAAKAQAADwAAAAAAAAABACAAAAAiAAAAZHJzL2Rv&#10;d25yZXYueG1sUEsBAhQAFAAAAAgAh07iQA/IwNkCAgAA2wMAAA4AAAAAAAAAAQAgAAAAJgEAAGRy&#10;cy9lMm9Eb2MueG1sUEsFBgAAAAAGAAYAWQEAAJoFAAAAAA==&#10;">
                <v:fill on="f" focussize="0,0"/>
                <v:stroke weight="0.5pt" color="#000000" miterlimit="8" joinstyle="miter"/>
                <v:imagedata o:title=""/>
                <o:lock v:ext="edit" aspectratio="f"/>
              </v:line>
            </w:pict>
          </mc:Fallback>
        </mc:AlternateContent>
      </w:r>
      <w:r>
        <w:rPr>
          <w:sz w:val="36"/>
        </w:rPr>
        <mc:AlternateContent>
          <mc:Choice Requires="wps">
            <w:drawing>
              <wp:anchor distT="0" distB="0" distL="114300" distR="114300" simplePos="0" relativeHeight="251677696" behindDoc="0" locked="0" layoutInCell="1" allowOverlap="1">
                <wp:simplePos x="0" y="0"/>
                <wp:positionH relativeFrom="column">
                  <wp:posOffset>2713355</wp:posOffset>
                </wp:positionH>
                <wp:positionV relativeFrom="paragraph">
                  <wp:posOffset>454660</wp:posOffset>
                </wp:positionV>
                <wp:extent cx="0" cy="196215"/>
                <wp:effectExtent l="4445" t="0" r="14605" b="13335"/>
                <wp:wrapNone/>
                <wp:docPr id="29" name="直接连接符 29"/>
                <wp:cNvGraphicFramePr/>
                <a:graphic xmlns:a="http://schemas.openxmlformats.org/drawingml/2006/main">
                  <a:graphicData uri="http://schemas.microsoft.com/office/word/2010/wordprocessingShape">
                    <wps:wsp>
                      <wps:cNvCnPr>
                        <a:stCxn id="9" idx="2"/>
                      </wps:cNvCnPr>
                      <wps:spPr>
                        <a:xfrm>
                          <a:off x="3850005" y="3284220"/>
                          <a:ext cx="0" cy="1962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13.65pt;margin-top:35.8pt;height:15.45pt;width:0pt;z-index:251677696;mso-width-relative:page;mso-height-relative:page;" filled="f" stroked="t" coordsize="21600,21600" o:gfxdata="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1VaRdYAAAAKAQAADwAAAAAAAAABACAAAAAiAAAAZHJzL2Rv&#10;d25yZXYueG1sUEsBAhQAFAAAAAgAh07iQEv+Yx4DAgAA8gMAAA4AAAAAAAAAAQAgAAAAJQEAAGRy&#10;cy9lMm9Eb2MueG1sUEsFBgAAAAAGAAYAWQEAAJoFAAAAAA==&#10;">
                <v:fill on="f" focussize="0,0"/>
                <v:stroke weight="0.5pt" color="#000000" miterlimit="8" joinstyle="miter"/>
                <v:imagedata o:title=""/>
                <o:lock v:ext="edit" aspectratio="f"/>
              </v:line>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-59055</wp:posOffset>
                </wp:positionH>
                <wp:positionV relativeFrom="paragraph">
                  <wp:posOffset>3486785</wp:posOffset>
                </wp:positionV>
                <wp:extent cx="895985" cy="821690"/>
                <wp:effectExtent l="4445" t="4445" r="13970" b="12065"/>
                <wp:wrapNone/>
                <wp:docPr id="18" name="文本框 18"/>
                <wp:cNvGraphicFramePr/>
                <a:graphic xmlns:a="http://schemas.openxmlformats.org/drawingml/2006/main">
                  <a:graphicData uri="http://schemas.microsoft.com/office/word/2010/wordprocessingShape">
                    <wps:wsp>
                      <wps:cNvSpPr txBox="1"/>
                      <wps:spPr>
                        <a:xfrm>
                          <a:off x="550545" y="6300470"/>
                          <a:ext cx="895985" cy="821690"/>
                        </a:xfrm>
                        <a:prstGeom prst="rect">
                          <a:avLst/>
                        </a:prstGeom>
                        <a:solidFill>
                          <a:srgbClr val="FFFFFF"/>
                        </a:solidFill>
                        <a:ln w="6350">
                          <a:solidFill>
                            <a:prstClr val="black"/>
                          </a:solidFill>
                        </a:ln>
                        <a:effectLst/>
                      </wps:spPr>
                      <wps:txbx>
                        <w:txbxContent>
                          <w:p w14:paraId="703F26A0">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通过评估的，继续享受医保待遇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274.55pt;height:64.7pt;width:70.55pt;z-index:251669504;mso-width-relative:page;mso-height-relative:page;" fillcolor="#FFFFFF" filled="t" stroked="t" coordsize="21600,21600" o:gfxdata="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629BZ1wAAAAoBAAAPAAAAAAAAAAEAIAAAACIAAABkcnMvZG93bnJldi54bWxQ&#10;SwECFAAUAAAACACHTuJAFIdUOWoCAADRBAAADgAAAAAAAAABACAAAAAmAQAAZHJzL2Uyb0RvYy54&#10;bWxQSwUGAAAAAAYABgBZAQAAAgYAAAAA&#10;">
                <v:fill on="t" focussize="0,0"/>
                <v:stroke weight="0.5pt" color="#000000" joinstyle="round"/>
                <v:imagedata o:title=""/>
                <o:lock v:ext="edit" aspectratio="f"/>
                <v:textbox>
                  <w:txbxContent>
                    <w:p w14:paraId="703F26A0">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通过评估的，继续享受医保待遇</w:t>
                      </w:r>
                    </w:p>
                  </w:txbxContent>
                </v:textbox>
              </v:shape>
            </w:pict>
          </mc:Fallback>
        </mc:AlternateContent>
      </w:r>
      <w:r>
        <w:rPr>
          <w:sz w:val="36"/>
        </w:rPr>
        <mc:AlternateContent>
          <mc:Choice Requires="wps">
            <w:drawing>
              <wp:anchor distT="0" distB="0" distL="114300" distR="114300" simplePos="0" relativeHeight="251666432" behindDoc="0" locked="0" layoutInCell="1" allowOverlap="1">
                <wp:simplePos x="0" y="0"/>
                <wp:positionH relativeFrom="column">
                  <wp:posOffset>3463925</wp:posOffset>
                </wp:positionH>
                <wp:positionV relativeFrom="paragraph">
                  <wp:posOffset>2952115</wp:posOffset>
                </wp:positionV>
                <wp:extent cx="1974850" cy="574040"/>
                <wp:effectExtent l="5080" t="5080" r="20320" b="11430"/>
                <wp:wrapNone/>
                <wp:docPr id="15" name="文本框 15"/>
                <wp:cNvGraphicFramePr/>
                <a:graphic xmlns:a="http://schemas.openxmlformats.org/drawingml/2006/main">
                  <a:graphicData uri="http://schemas.microsoft.com/office/word/2010/wordprocessingShape">
                    <wps:wsp>
                      <wps:cNvSpPr txBox="1"/>
                      <wps:spPr>
                        <a:xfrm>
                          <a:off x="4360545" y="5777230"/>
                          <a:ext cx="1974850" cy="574040"/>
                        </a:xfrm>
                        <a:prstGeom prst="rect">
                          <a:avLst/>
                        </a:prstGeom>
                        <a:solidFill>
                          <a:srgbClr val="FFFFFF"/>
                        </a:solidFill>
                        <a:ln w="6350">
                          <a:solidFill>
                            <a:srgbClr val="000000"/>
                          </a:solidFill>
                        </a:ln>
                        <a:effectLst/>
                      </wps:spPr>
                      <wps:txbx>
                        <w:txbxContent>
                          <w:p w14:paraId="76E63AE7">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住院使用的</w:t>
                            </w:r>
                            <w:r>
                              <w:rPr>
                                <w:rFonts w:hint="eastAsia" w:ascii="仿宋" w:hAnsi="仿宋" w:eastAsia="仿宋" w:cs="仿宋"/>
                                <w:color w:val="000000" w:themeColor="text1"/>
                                <w:sz w:val="15"/>
                                <w:szCs w:val="15"/>
                                <w:lang w:eastAsia="zh-CN"/>
                                <w14:textFill>
                                  <w14:solidFill>
                                    <w14:schemeClr w14:val="tx1"/>
                                  </w14:solidFill>
                                </w14:textFill>
                              </w:rPr>
                              <w:t>谈判药品</w:t>
                            </w:r>
                            <w:r>
                              <w:rPr>
                                <w:rFonts w:hint="eastAsia" w:ascii="仿宋" w:hAnsi="仿宋" w:eastAsia="仿宋" w:cs="仿宋"/>
                                <w:color w:val="000000" w:themeColor="text1"/>
                                <w:sz w:val="15"/>
                                <w:szCs w:val="15"/>
                                <w14:textFill>
                                  <w14:solidFill>
                                    <w14:schemeClr w14:val="tx1"/>
                                  </w14:solidFill>
                                </w14:textFill>
                              </w:rPr>
                              <w:t>由国谈药定点零售药店免费配送至医疗机构使用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75pt;margin-top:232.45pt;height:45.2pt;width:155.5pt;z-index:251666432;mso-width-relative:page;mso-height-relative:page;" fillcolor="#FFFFFF" filled="t" stroked="t" coordsize="21600,21600" o:gfxdata="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Cj79zXAAAACwEAAA8AAAAAAAAAAQAgAAAAIgAAAGRycy9kb3ducmV2LnhtbFBLAQIU&#10;ABQAAAAIAIdO4kDbozTeZgIAANQEAAAOAAAAAAAAAAEAIAAAACYBAABkcnMvZTJvRG9jLnhtbFBL&#10;BQYAAAAABgAGAFkBAAD+BQAAAAA=&#10;">
                <v:fill on="t" focussize="0,0"/>
                <v:stroke weight="0.5pt" color="#000000" joinstyle="round"/>
                <v:imagedata o:title=""/>
                <o:lock v:ext="edit" aspectratio="f"/>
                <v:textbox>
                  <w:txbxContent>
                    <w:p w14:paraId="76E63AE7">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住院使用的</w:t>
                      </w:r>
                      <w:r>
                        <w:rPr>
                          <w:rFonts w:hint="eastAsia" w:ascii="仿宋" w:hAnsi="仿宋" w:eastAsia="仿宋" w:cs="仿宋"/>
                          <w:color w:val="000000" w:themeColor="text1"/>
                          <w:sz w:val="15"/>
                          <w:szCs w:val="15"/>
                          <w:lang w:eastAsia="zh-CN"/>
                          <w14:textFill>
                            <w14:solidFill>
                              <w14:schemeClr w14:val="tx1"/>
                            </w14:solidFill>
                          </w14:textFill>
                        </w:rPr>
                        <w:t>谈判药品</w:t>
                      </w:r>
                      <w:r>
                        <w:rPr>
                          <w:rFonts w:hint="eastAsia" w:ascii="仿宋" w:hAnsi="仿宋" w:eastAsia="仿宋" w:cs="仿宋"/>
                          <w:color w:val="000000" w:themeColor="text1"/>
                          <w:sz w:val="15"/>
                          <w:szCs w:val="15"/>
                          <w14:textFill>
                            <w14:solidFill>
                              <w14:schemeClr w14:val="tx1"/>
                            </w14:solidFill>
                          </w14:textFill>
                        </w:rPr>
                        <w:t>由国谈药定点零售药店免费配送至医疗机构使用</w:t>
                      </w:r>
                    </w:p>
                  </w:txbxContent>
                </v:textbox>
              </v:shape>
            </w:pict>
          </mc:Fallback>
        </mc:AlternateContent>
      </w:r>
      <w:r>
        <w:rPr>
          <w:sz w:val="36"/>
        </w:rPr>
        <mc:AlternateContent>
          <mc:Choice Requires="wps">
            <w:drawing>
              <wp:anchor distT="0" distB="0" distL="114300" distR="114300" simplePos="0" relativeHeight="251676672" behindDoc="0" locked="0" layoutInCell="1" allowOverlap="1">
                <wp:simplePos x="0" y="0"/>
                <wp:positionH relativeFrom="column">
                  <wp:posOffset>3088005</wp:posOffset>
                </wp:positionH>
                <wp:positionV relativeFrom="paragraph">
                  <wp:posOffset>3239135</wp:posOffset>
                </wp:positionV>
                <wp:extent cx="375920" cy="2540"/>
                <wp:effectExtent l="0" t="46990" r="5080" b="64770"/>
                <wp:wrapNone/>
                <wp:docPr id="25" name="直接箭头连接符 25"/>
                <wp:cNvGraphicFramePr/>
                <a:graphic xmlns:a="http://schemas.openxmlformats.org/drawingml/2006/main">
                  <a:graphicData uri="http://schemas.microsoft.com/office/word/2010/wordprocessingShape">
                    <wps:wsp>
                      <wps:cNvCnPr/>
                      <wps:spPr>
                        <a:xfrm flipH="1">
                          <a:off x="4084955" y="6137275"/>
                          <a:ext cx="375920" cy="25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43.15pt;margin-top:255.05pt;height:0.2pt;width:29.6pt;z-index:251676672;mso-width-relative:page;mso-height-relative:page;" filled="f" stroked="t" coordsize="21600,21600" o:gfxdata="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sEHj2QAAAAsBAAAPAAAAAAAAAAEAIAAAACIAAABkcnMvZG93bnJldi54bWxQSwECFAAUAAAACACH&#10;TuJAvEUoayMCAAAGBAAADgAAAAAAAAABACAAAAAoAQAAZHJzL2Uyb0RvYy54bWxQSwUGAAAAAAYA&#10;BgBZAQAAvQU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4410710</wp:posOffset>
                </wp:positionH>
                <wp:positionV relativeFrom="paragraph">
                  <wp:posOffset>1330960</wp:posOffset>
                </wp:positionV>
                <wp:extent cx="2540" cy="425450"/>
                <wp:effectExtent l="46990" t="0" r="64770" b="12700"/>
                <wp:wrapNone/>
                <wp:docPr id="24" name="直接箭头连接符 24"/>
                <wp:cNvGraphicFramePr/>
                <a:graphic xmlns:a="http://schemas.openxmlformats.org/drawingml/2006/main">
                  <a:graphicData uri="http://schemas.microsoft.com/office/word/2010/wordprocessingShape">
                    <wps:wsp>
                      <wps:cNvCnPr/>
                      <wps:spPr>
                        <a:xfrm flipV="1">
                          <a:off x="5544185" y="4207510"/>
                          <a:ext cx="2540" cy="4254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47.3pt;margin-top:104.8pt;height:33.5pt;width:0.2pt;z-index:251675648;mso-width-relative:page;mso-height-relative:page;" filled="f" stroked="t" coordsize="21600,21600" o:gfxdata="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Fnx9&#10;2gAAAAsBAAAPAAAAAAAAAAEAIAAAACIAAABkcnMvZG93bnJldi54bWxQSwECFAAUAAAACACHTuJA&#10;fj3tAx8CAAAGBAAADgAAAAAAAAABACAAAAApAQAAZHJzL2Uyb0RvYy54bWxQSwUGAAAAAAYABgBZ&#10;AQAAugU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1400810</wp:posOffset>
                </wp:positionH>
                <wp:positionV relativeFrom="paragraph">
                  <wp:posOffset>5033645</wp:posOffset>
                </wp:positionV>
                <wp:extent cx="1617345" cy="586740"/>
                <wp:effectExtent l="4445" t="4445" r="16510" b="18415"/>
                <wp:wrapNone/>
                <wp:docPr id="17" name="文本框 17"/>
                <wp:cNvGraphicFramePr/>
                <a:graphic xmlns:a="http://schemas.openxmlformats.org/drawingml/2006/main">
                  <a:graphicData uri="http://schemas.microsoft.com/office/word/2010/wordprocessingShape">
                    <wps:wsp>
                      <wps:cNvSpPr txBox="1"/>
                      <wps:spPr>
                        <a:xfrm>
                          <a:off x="2179955" y="8076565"/>
                          <a:ext cx="1617345" cy="586740"/>
                        </a:xfrm>
                        <a:prstGeom prst="rect">
                          <a:avLst/>
                        </a:prstGeom>
                        <a:solidFill>
                          <a:srgbClr val="FFFFFF"/>
                        </a:solidFill>
                        <a:ln w="6350">
                          <a:solidFill>
                            <a:prstClr val="black"/>
                          </a:solidFill>
                        </a:ln>
                        <a:effectLst/>
                      </wps:spPr>
                      <wps:txbx>
                        <w:txbxContent>
                          <w:p w14:paraId="20C07145">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参保患者享受医保待遇期间，责任医师定期</w:t>
                            </w:r>
                            <w:r>
                              <w:rPr>
                                <w:rFonts w:hint="eastAsia" w:ascii="仿宋" w:hAnsi="仿宋" w:eastAsia="仿宋" w:cs="仿宋"/>
                                <w:color w:val="000000" w:themeColor="text1"/>
                                <w:sz w:val="15"/>
                                <w:szCs w:val="15"/>
                                <w:lang w:eastAsia="zh-CN"/>
                                <w14:textFill>
                                  <w14:solidFill>
                                    <w14:schemeClr w14:val="tx1"/>
                                  </w14:solidFill>
                                </w14:textFill>
                              </w:rPr>
                              <w:t>对患者用药情况</w:t>
                            </w:r>
                            <w:r>
                              <w:rPr>
                                <w:rFonts w:hint="eastAsia" w:ascii="仿宋" w:hAnsi="仿宋" w:eastAsia="仿宋" w:cs="仿宋"/>
                                <w:color w:val="000000" w:themeColor="text1"/>
                                <w:sz w:val="15"/>
                                <w:szCs w:val="15"/>
                                <w14:textFill>
                                  <w14:solidFill>
                                    <w14:schemeClr w14:val="tx1"/>
                                  </w14:solidFill>
                                </w14:textFill>
                              </w:rPr>
                              <w:t>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3pt;margin-top:396.35pt;height:46.2pt;width:127.35pt;z-index:251668480;mso-width-relative:page;mso-height-relative:page;" fillcolor="#FFFFFF" filled="t" stroked="t" coordsize="21600,21600" o:gfxdata="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3m/CU2AAAAAsBAAAPAAAAAAAAAAEAIAAAACIAAABkcnMvZG93bnJl&#10;di54bWxQSwECFAAUAAAACACHTuJAULFENm8CAADTBAAADgAAAAAAAAABACAAAAAnAQAAZHJzL2Uy&#10;b0RvYy54bWxQSwUGAAAAAAYABgBZAQAACAYAAAAA&#10;">
                <v:fill on="t" focussize="0,0"/>
                <v:stroke weight="0.5pt" color="#000000" joinstyle="round"/>
                <v:imagedata o:title=""/>
                <o:lock v:ext="edit" aspectratio="f"/>
                <v:textbox>
                  <w:txbxContent>
                    <w:p w14:paraId="20C07145">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参保患者享受医保待遇期间，责任医师定期</w:t>
                      </w:r>
                      <w:r>
                        <w:rPr>
                          <w:rFonts w:hint="eastAsia" w:ascii="仿宋" w:hAnsi="仿宋" w:eastAsia="仿宋" w:cs="仿宋"/>
                          <w:color w:val="000000" w:themeColor="text1"/>
                          <w:sz w:val="15"/>
                          <w:szCs w:val="15"/>
                          <w:lang w:eastAsia="zh-CN"/>
                          <w14:textFill>
                            <w14:solidFill>
                              <w14:schemeClr w14:val="tx1"/>
                            </w14:solidFill>
                          </w14:textFill>
                        </w:rPr>
                        <w:t>对患者用药情况</w:t>
                      </w:r>
                      <w:r>
                        <w:rPr>
                          <w:rFonts w:hint="eastAsia" w:ascii="仿宋" w:hAnsi="仿宋" w:eastAsia="仿宋" w:cs="仿宋"/>
                          <w:color w:val="000000" w:themeColor="text1"/>
                          <w:sz w:val="15"/>
                          <w:szCs w:val="15"/>
                          <w14:textFill>
                            <w14:solidFill>
                              <w14:schemeClr w14:val="tx1"/>
                            </w14:solidFill>
                          </w14:textFill>
                        </w:rPr>
                        <w:t>评估</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2171065</wp:posOffset>
                </wp:positionH>
                <wp:positionV relativeFrom="paragraph">
                  <wp:posOffset>4504690</wp:posOffset>
                </wp:positionV>
                <wp:extent cx="14605" cy="527050"/>
                <wp:effectExtent l="36830" t="0" r="62865" b="6350"/>
                <wp:wrapNone/>
                <wp:docPr id="22" name="直接箭头连接符 22"/>
                <wp:cNvGraphicFramePr/>
                <a:graphic xmlns:a="http://schemas.openxmlformats.org/drawingml/2006/main">
                  <a:graphicData uri="http://schemas.microsoft.com/office/word/2010/wordprocessingShape">
                    <wps:wsp>
                      <wps:cNvCnPr/>
                      <wps:spPr>
                        <a:xfrm>
                          <a:off x="0" y="0"/>
                          <a:ext cx="14605" cy="527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70.95pt;margin-top:354.7pt;height:41.5pt;width:1.15pt;z-index:251673600;mso-width-relative:page;mso-height-relative:page;" filled="f" stroked="t" coordsize="21600,21600" o:gfxdata="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bn/X2gAAAAsBAAAPAAAAAAAAAAEA&#10;IAAAACIAAABkcnMvZG93bnJldi54bWxQSwECFAAUAAAACACHTuJAHO9xhQ0CAADxAwAADgAAAAAA&#10;AAABACAAAAApAQAAZHJzL2Uyb0RvYy54bWxQSwUGAAAAAAYABgBZAQAAqAU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1429385</wp:posOffset>
                </wp:positionH>
                <wp:positionV relativeFrom="paragraph">
                  <wp:posOffset>4013835</wp:posOffset>
                </wp:positionV>
                <wp:extent cx="1547495" cy="492760"/>
                <wp:effectExtent l="4445" t="4445" r="10160" b="17145"/>
                <wp:wrapNone/>
                <wp:docPr id="16" name="文本框 16"/>
                <wp:cNvGraphicFramePr/>
                <a:graphic xmlns:a="http://schemas.openxmlformats.org/drawingml/2006/main">
                  <a:graphicData uri="http://schemas.microsoft.com/office/word/2010/wordprocessingShape">
                    <wps:wsp>
                      <wps:cNvSpPr txBox="1"/>
                      <wps:spPr>
                        <a:xfrm>
                          <a:off x="2162175" y="6991985"/>
                          <a:ext cx="1547495" cy="492760"/>
                        </a:xfrm>
                        <a:prstGeom prst="rect">
                          <a:avLst/>
                        </a:prstGeom>
                        <a:solidFill>
                          <a:srgbClr val="FFFFFF"/>
                        </a:solidFill>
                        <a:ln w="6350">
                          <a:solidFill>
                            <a:prstClr val="black"/>
                          </a:solidFill>
                        </a:ln>
                        <a:effectLst/>
                      </wps:spPr>
                      <wps:txbx>
                        <w:txbxContent>
                          <w:p w14:paraId="684FB333">
                            <w:pPr>
                              <w:spacing w:line="2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参保患者支付按照规定应当由个人负担部分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5pt;margin-top:316.05pt;height:38.8pt;width:121.85pt;z-index:251667456;mso-width-relative:page;mso-height-relative:page;" fillcolor="#FFFFFF" filled="t" stroked="t" coordsize="21600,21600" o:gfxdata="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GeKbYAAAACwEAAA8AAAAAAAAAAQAgAAAAIgAAAGRycy9kb3ducmV2&#10;LnhtbFBLAQIUABQAAAAIAIdO4kB5JApfbgIAANMEAAAOAAAAAAAAAAEAIAAAACcBAABkcnMvZTJv&#10;RG9jLnhtbFBLBQYAAAAABgAGAFkBAAAHBgAAAAA=&#10;">
                <v:fill on="t" focussize="0,0"/>
                <v:stroke weight="0.5pt" color="#000000" joinstyle="round"/>
                <v:imagedata o:title=""/>
                <o:lock v:ext="edit" aspectratio="f"/>
                <v:textbox>
                  <w:txbxContent>
                    <w:p w14:paraId="684FB333">
                      <w:pPr>
                        <w:spacing w:line="2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参保患者支付按照规定应当由个人负担部分</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2165350</wp:posOffset>
                </wp:positionH>
                <wp:positionV relativeFrom="paragraph">
                  <wp:posOffset>3484880</wp:posOffset>
                </wp:positionV>
                <wp:extent cx="14605" cy="527050"/>
                <wp:effectExtent l="36830" t="0" r="62865" b="6350"/>
                <wp:wrapNone/>
                <wp:docPr id="21" name="直接箭头连接符 21"/>
                <wp:cNvGraphicFramePr/>
                <a:graphic xmlns:a="http://schemas.openxmlformats.org/drawingml/2006/main">
                  <a:graphicData uri="http://schemas.microsoft.com/office/word/2010/wordprocessingShape">
                    <wps:wsp>
                      <wps:cNvCnPr/>
                      <wps:spPr>
                        <a:xfrm>
                          <a:off x="0" y="0"/>
                          <a:ext cx="14605" cy="5270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70.5pt;margin-top:274.4pt;height:41.5pt;width:1.15pt;z-index:251672576;mso-width-relative:page;mso-height-relative:page;" filled="f" stroked="t" coordsize="21600,21600" o:gfxdata="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7GXR2gAAAAsBAAAPAAAAAAAAAAEA&#10;IAAAACIAAABkcnMvZG93bnJldi54bWxQSwECFAAUAAAACACHTuJACqUR0A0CAADxAwAADgAAAAAA&#10;AAABACAAAAApAQAAZHJzL2Uyb0RvYy54bWxQSwUGAAAAAAYABgBZAQAAqAU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5408" behindDoc="0" locked="0" layoutInCell="1" allowOverlap="1">
                <wp:simplePos x="0" y="0"/>
                <wp:positionH relativeFrom="column">
                  <wp:posOffset>1412240</wp:posOffset>
                </wp:positionH>
                <wp:positionV relativeFrom="paragraph">
                  <wp:posOffset>2992755</wp:posOffset>
                </wp:positionV>
                <wp:extent cx="1675765" cy="497840"/>
                <wp:effectExtent l="4445" t="4445" r="15240" b="12065"/>
                <wp:wrapNone/>
                <wp:docPr id="14" name="文本框 14"/>
                <wp:cNvGraphicFramePr/>
                <a:graphic xmlns:a="http://schemas.openxmlformats.org/drawingml/2006/main">
                  <a:graphicData uri="http://schemas.microsoft.com/office/word/2010/wordprocessingShape">
                    <wps:wsp>
                      <wps:cNvSpPr txBox="1"/>
                      <wps:spPr>
                        <a:xfrm>
                          <a:off x="2085975" y="5824220"/>
                          <a:ext cx="1675765" cy="497840"/>
                        </a:xfrm>
                        <a:prstGeom prst="rect">
                          <a:avLst/>
                        </a:prstGeom>
                        <a:solidFill>
                          <a:srgbClr val="FFFFFF"/>
                        </a:solidFill>
                        <a:ln w="6350">
                          <a:solidFill>
                            <a:prstClr val="black"/>
                          </a:solidFill>
                        </a:ln>
                        <a:effectLst/>
                      </wps:spPr>
                      <wps:txbx>
                        <w:txbxContent>
                          <w:p w14:paraId="0381BC78">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参保患者至国谈药定点医药机构购药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2pt;margin-top:235.65pt;height:39.2pt;width:131.95pt;z-index:251665408;mso-width-relative:page;mso-height-relative:page;" fillcolor="#FFFFFF" filled="t" stroked="t" coordsize="21600,21600" o:gfxdata="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cCfXbZAAAACwEAAA8AAAAAAAAAAQAgAAAAIgAAAGRycy9kb3ducmV2&#10;LnhtbFBLAQIUABQAAAAIAIdO4kA1bThWbQIAANMEAAAOAAAAAAAAAAEAIAAAACgBAABkcnMvZTJv&#10;RG9jLnhtbFBLBQYAAAAABgAGAFkBAAAHBgAAAAA=&#10;">
                <v:fill on="t" focussize="0,0"/>
                <v:stroke weight="0.5pt" color="#000000" joinstyle="round"/>
                <v:imagedata o:title=""/>
                <o:lock v:ext="edit" aspectratio="f"/>
                <v:textbox>
                  <w:txbxContent>
                    <w:p w14:paraId="0381BC78">
                      <w:pPr>
                        <w:spacing w:line="260" w:lineRule="exact"/>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参保患者至国谈药定点医药机构购药</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2103755</wp:posOffset>
                </wp:positionH>
                <wp:positionV relativeFrom="paragraph">
                  <wp:posOffset>2345690</wp:posOffset>
                </wp:positionV>
                <wp:extent cx="11430" cy="657860"/>
                <wp:effectExtent l="39370" t="0" r="63500" b="8890"/>
                <wp:wrapNone/>
                <wp:docPr id="20" name="直接箭头连接符 20"/>
                <wp:cNvGraphicFramePr/>
                <a:graphic xmlns:a="http://schemas.openxmlformats.org/drawingml/2006/main">
                  <a:graphicData uri="http://schemas.microsoft.com/office/word/2010/wordprocessingShape">
                    <wps:wsp>
                      <wps:cNvCnPr/>
                      <wps:spPr>
                        <a:xfrm>
                          <a:off x="0" y="0"/>
                          <a:ext cx="11430" cy="6578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65.65pt;margin-top:184.7pt;height:51.8pt;width:0.9pt;z-index:251671552;mso-width-relative:page;mso-height-relative:page;" filled="f" stroked="t" coordsize="21600,21600" o:gfxdata="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Ds1/YAAAACwEAAA8AAAAAAAAAAQAgAAAA&#10;IgAAAGRycy9kb3ducmV2LnhtbFBLAQIUABQAAAAIAIdO4kBYP5M+CwIAAPEDAAAOAAAAAAAAAAEA&#10;IAAAACcBAABkcnMvZTJvRG9jLnhtbFBLBQYAAAAABgAGAFkBAACkBQAAAAA=&#10;">
                <v:fill on="f" focussize="0,0"/>
                <v:stroke weight="0.5pt" color="#0000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1588135</wp:posOffset>
                </wp:positionH>
                <wp:positionV relativeFrom="paragraph">
                  <wp:posOffset>31750</wp:posOffset>
                </wp:positionV>
                <wp:extent cx="2250440" cy="422910"/>
                <wp:effectExtent l="4445" t="5080" r="12065" b="10160"/>
                <wp:wrapNone/>
                <wp:docPr id="9" name="文本框 9"/>
                <wp:cNvGraphicFramePr/>
                <a:graphic xmlns:a="http://schemas.openxmlformats.org/drawingml/2006/main">
                  <a:graphicData uri="http://schemas.microsoft.com/office/word/2010/wordprocessingShape">
                    <wps:wsp>
                      <wps:cNvSpPr txBox="1"/>
                      <wps:spPr>
                        <a:xfrm>
                          <a:off x="2789555" y="2734310"/>
                          <a:ext cx="2250440" cy="422910"/>
                        </a:xfrm>
                        <a:prstGeom prst="rect">
                          <a:avLst/>
                        </a:prstGeom>
                        <a:solidFill>
                          <a:srgbClr val="FFFFFF"/>
                        </a:solidFill>
                        <a:ln w="6350">
                          <a:solidFill>
                            <a:prstClr val="black"/>
                          </a:solidFill>
                        </a:ln>
                        <a:effectLst/>
                      </wps:spPr>
                      <wps:txbx>
                        <w:txbxContent>
                          <w:p w14:paraId="3AA2751B">
                            <w:pPr>
                              <w:spacing w:line="2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责任医师填写《参保患者“双通道”管理药品用药申请表》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05pt;margin-top:2.5pt;height:33.3pt;width:177.2pt;z-index:251660288;mso-width-relative:page;mso-height-relative:page;" fillcolor="#FFFFFF" filled="t" stroked="t" coordsize="21600,21600" o:gfxdata="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V4w3w1QAAAAgBAAAPAAAAAAAAAAEAIAAAACIAAABkcnMvZG93bnJldi54bWxQSwEC&#10;FAAUAAAACACHTuJAdCx8qGkCAADRBAAADgAAAAAAAAABACAAAAAkAQAAZHJzL2Uyb0RvYy54bWxQ&#10;SwUGAAAAAAYABgBZAQAA/wUAAAAA&#10;">
                <v:fill on="t" focussize="0,0"/>
                <v:stroke weight="0.5pt" color="#000000" joinstyle="round"/>
                <v:imagedata o:title=""/>
                <o:lock v:ext="edit" aspectratio="f"/>
                <v:textbox>
                  <w:txbxContent>
                    <w:p w14:paraId="3AA2751B">
                      <w:pPr>
                        <w:spacing w:line="2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责任医师填写《参保患者“双通道”管理药品用药申请表》</w:t>
                      </w:r>
                    </w:p>
                  </w:txbxContent>
                </v:textbox>
              </v:shape>
            </w:pict>
          </mc:Fallback>
        </mc:AlternateContent>
      </w:r>
    </w:p>
    <w:p w14:paraId="215741C0">
      <w:pPr>
        <w:keepNext w:val="0"/>
        <w:keepLines w:val="0"/>
        <w:pageBreakBefore w:val="0"/>
        <w:kinsoku/>
        <w:wordWrap/>
        <w:overflowPunct/>
        <w:topLinePunct w:val="0"/>
        <w:bidi w:val="0"/>
        <w:adjustRightInd/>
        <w:snapToGrid/>
        <w:spacing w:line="560" w:lineRule="exact"/>
        <w:ind w:left="0" w:leftChars="0" w:firstLine="0" w:firstLineChars="0"/>
        <w:textAlignment w:val="auto"/>
        <w:rPr>
          <w:sz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-503555</wp:posOffset>
                </wp:positionH>
                <wp:positionV relativeFrom="paragraph">
                  <wp:posOffset>673735</wp:posOffset>
                </wp:positionV>
                <wp:extent cx="3031490" cy="500380"/>
                <wp:effectExtent l="5080" t="4445" r="11430" b="9525"/>
                <wp:wrapNone/>
                <wp:docPr id="10" name="文本框 10"/>
                <wp:cNvGraphicFramePr/>
                <a:graphic xmlns:a="http://schemas.openxmlformats.org/drawingml/2006/main">
                  <a:graphicData uri="http://schemas.microsoft.com/office/word/2010/wordprocessingShape">
                    <wps:wsp>
                      <wps:cNvSpPr txBox="1"/>
                      <wps:spPr>
                        <a:xfrm>
                          <a:off x="1347470" y="3775710"/>
                          <a:ext cx="2063115" cy="445135"/>
                        </a:xfrm>
                        <a:prstGeom prst="rect">
                          <a:avLst/>
                        </a:prstGeom>
                        <a:solidFill>
                          <a:srgbClr val="FFFFFF"/>
                        </a:solidFill>
                        <a:ln w="6350">
                          <a:solidFill>
                            <a:prstClr val="black"/>
                          </a:solidFill>
                        </a:ln>
                        <a:effectLst/>
                      </wps:spPr>
                      <wps:txbx>
                        <w:txbxContent>
                          <w:p w14:paraId="5E7A21F5">
                            <w:pPr>
                              <w:spacing w:line="260" w:lineRule="exact"/>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lang w:eastAsia="zh-CN"/>
                                <w14:textFill>
                                  <w14:solidFill>
                                    <w14:schemeClr w14:val="tx1"/>
                                  </w14:solidFill>
                                </w14:textFill>
                              </w:rPr>
                              <w:t>定点</w:t>
                            </w:r>
                            <w:r>
                              <w:rPr>
                                <w:rFonts w:hint="eastAsia" w:ascii="仿宋" w:hAnsi="仿宋" w:eastAsia="仿宋" w:cs="仿宋"/>
                                <w:color w:val="000000" w:themeColor="text1"/>
                                <w:sz w:val="15"/>
                                <w:szCs w:val="15"/>
                                <w14:textFill>
                                  <w14:solidFill>
                                    <w14:schemeClr w14:val="tx1"/>
                                  </w14:solidFill>
                                </w14:textFill>
                              </w:rPr>
                              <w:t>医疗机构</w:t>
                            </w:r>
                            <w:r>
                              <w:rPr>
                                <w:rFonts w:hint="eastAsia" w:ascii="仿宋" w:hAnsi="仿宋" w:eastAsia="仿宋" w:cs="仿宋"/>
                                <w:color w:val="000000" w:themeColor="text1"/>
                                <w:sz w:val="15"/>
                                <w:szCs w:val="15"/>
                                <w:lang w:eastAsia="zh-CN"/>
                                <w14:textFill>
                                  <w14:solidFill>
                                    <w14:schemeClr w14:val="tx1"/>
                                  </w14:solidFill>
                                </w14:textFill>
                              </w:rPr>
                              <w:t>医保办对申请材料进行审核，</w:t>
                            </w:r>
                            <w:r>
                              <w:rPr>
                                <w:rFonts w:hint="eastAsia" w:ascii="仿宋" w:hAnsi="仿宋" w:eastAsia="仿宋" w:cs="仿宋"/>
                                <w:color w:val="000000" w:themeColor="text1"/>
                                <w:sz w:val="15"/>
                                <w:szCs w:val="15"/>
                                <w14:textFill>
                                  <w14:solidFill>
                                    <w14:schemeClr w14:val="tx1"/>
                                  </w14:solidFill>
                                </w14:textFill>
                              </w:rPr>
                              <w:t>对材料不完整的，一次性告知补充完善</w:t>
                            </w:r>
                            <w:r>
                              <w:rPr>
                                <w:rFonts w:hint="eastAsia" w:ascii="仿宋" w:hAnsi="仿宋" w:eastAsia="仿宋" w:cs="仿宋"/>
                                <w:color w:val="000000" w:themeColor="text1"/>
                                <w:sz w:val="15"/>
                                <w:szCs w:val="15"/>
                                <w:lang w:eastAsia="zh-CN"/>
                                <w14:textFill>
                                  <w14:solidFill>
                                    <w14:schemeClr w14:val="tx1"/>
                                  </w14:solidFill>
                                </w14:textFill>
                              </w:rPr>
                              <w:t>；符合的</w:t>
                            </w:r>
                            <w:r>
                              <w:rPr>
                                <w:rFonts w:hint="eastAsia" w:ascii="仿宋" w:hAnsi="仿宋" w:eastAsia="仿宋" w:cs="仿宋"/>
                                <w:color w:val="000000" w:themeColor="text1"/>
                                <w:sz w:val="15"/>
                                <w:szCs w:val="15"/>
                                <w14:textFill>
                                  <w14:solidFill>
                                    <w14:schemeClr w14:val="tx1"/>
                                  </w14:solidFill>
                                </w14:textFill>
                              </w:rPr>
                              <w:t>线上</w:t>
                            </w:r>
                            <w:r>
                              <w:rPr>
                                <w:rFonts w:hint="eastAsia" w:ascii="仿宋" w:hAnsi="仿宋" w:eastAsia="仿宋" w:cs="仿宋"/>
                                <w:color w:val="000000" w:themeColor="text1"/>
                                <w:sz w:val="15"/>
                                <w:szCs w:val="15"/>
                                <w:lang w:eastAsia="zh-CN"/>
                                <w14:textFill>
                                  <w14:solidFill>
                                    <w14:schemeClr w14:val="tx1"/>
                                  </w14:solidFill>
                                </w14:textFill>
                              </w:rPr>
                              <w:t>向医保部门</w:t>
                            </w:r>
                            <w:r>
                              <w:rPr>
                                <w:rFonts w:hint="eastAsia" w:ascii="仿宋" w:hAnsi="仿宋" w:eastAsia="仿宋" w:cs="仿宋"/>
                                <w:color w:val="000000" w:themeColor="text1"/>
                                <w:sz w:val="15"/>
                                <w:szCs w:val="15"/>
                                <w14:textFill>
                                  <w14:solidFill>
                                    <w14:schemeClr w14:val="tx1"/>
                                  </w14:solidFill>
                                </w14:textFill>
                              </w:rPr>
                              <w:t>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65pt;margin-top:53.05pt;height:39.4pt;width:238.7pt;z-index:251661312;mso-width-relative:page;mso-height-relative:page;" fillcolor="#FFFFFF" filled="t" stroked="t" coordsize="21600,21600" o:gfxdata="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4vQnNgAAAALAQAADwAAAAAAAAABACAAAAAiAAAAZHJzL2Rvd25yZXYueG1s&#10;UEsBAhQAFAAAAAgAh07iQP65Ty9qAgAA0wQAAA4AAAAAAAAAAQAgAAAAJwEAAGRycy9lMm9Eb2Mu&#10;eG1sUEsFBgAAAAAGAAYAWQEAAAMGAAAAAA==&#10;">
                <v:fill on="t" focussize="0,0"/>
                <v:stroke weight="0.5pt" color="#000000" joinstyle="round"/>
                <v:imagedata o:title=""/>
                <o:lock v:ext="edit" aspectratio="f"/>
                <v:textbox>
                  <w:txbxContent>
                    <w:p w14:paraId="5E7A21F5">
                      <w:pPr>
                        <w:spacing w:line="260" w:lineRule="exact"/>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lang w:eastAsia="zh-CN"/>
                          <w14:textFill>
                            <w14:solidFill>
                              <w14:schemeClr w14:val="tx1"/>
                            </w14:solidFill>
                          </w14:textFill>
                        </w:rPr>
                        <w:t>定点</w:t>
                      </w:r>
                      <w:r>
                        <w:rPr>
                          <w:rFonts w:hint="eastAsia" w:ascii="仿宋" w:hAnsi="仿宋" w:eastAsia="仿宋" w:cs="仿宋"/>
                          <w:color w:val="000000" w:themeColor="text1"/>
                          <w:sz w:val="15"/>
                          <w:szCs w:val="15"/>
                          <w14:textFill>
                            <w14:solidFill>
                              <w14:schemeClr w14:val="tx1"/>
                            </w14:solidFill>
                          </w14:textFill>
                        </w:rPr>
                        <w:t>医疗机构</w:t>
                      </w:r>
                      <w:r>
                        <w:rPr>
                          <w:rFonts w:hint="eastAsia" w:ascii="仿宋" w:hAnsi="仿宋" w:eastAsia="仿宋" w:cs="仿宋"/>
                          <w:color w:val="000000" w:themeColor="text1"/>
                          <w:sz w:val="15"/>
                          <w:szCs w:val="15"/>
                          <w:lang w:eastAsia="zh-CN"/>
                          <w14:textFill>
                            <w14:solidFill>
                              <w14:schemeClr w14:val="tx1"/>
                            </w14:solidFill>
                          </w14:textFill>
                        </w:rPr>
                        <w:t>医保办对申请材料进行审核，</w:t>
                      </w:r>
                      <w:r>
                        <w:rPr>
                          <w:rFonts w:hint="eastAsia" w:ascii="仿宋" w:hAnsi="仿宋" w:eastAsia="仿宋" w:cs="仿宋"/>
                          <w:color w:val="000000" w:themeColor="text1"/>
                          <w:sz w:val="15"/>
                          <w:szCs w:val="15"/>
                          <w14:textFill>
                            <w14:solidFill>
                              <w14:schemeClr w14:val="tx1"/>
                            </w14:solidFill>
                          </w14:textFill>
                        </w:rPr>
                        <w:t>对材料不完整的，一次性告知补充完善</w:t>
                      </w:r>
                      <w:r>
                        <w:rPr>
                          <w:rFonts w:hint="eastAsia" w:ascii="仿宋" w:hAnsi="仿宋" w:eastAsia="仿宋" w:cs="仿宋"/>
                          <w:color w:val="000000" w:themeColor="text1"/>
                          <w:sz w:val="15"/>
                          <w:szCs w:val="15"/>
                          <w:lang w:eastAsia="zh-CN"/>
                          <w14:textFill>
                            <w14:solidFill>
                              <w14:schemeClr w14:val="tx1"/>
                            </w14:solidFill>
                          </w14:textFill>
                        </w:rPr>
                        <w:t>；符合的</w:t>
                      </w:r>
                      <w:r>
                        <w:rPr>
                          <w:rFonts w:hint="eastAsia" w:ascii="仿宋" w:hAnsi="仿宋" w:eastAsia="仿宋" w:cs="仿宋"/>
                          <w:color w:val="000000" w:themeColor="text1"/>
                          <w:sz w:val="15"/>
                          <w:szCs w:val="15"/>
                          <w14:textFill>
                            <w14:solidFill>
                              <w14:schemeClr w14:val="tx1"/>
                            </w14:solidFill>
                          </w14:textFill>
                        </w:rPr>
                        <w:t>线上</w:t>
                      </w:r>
                      <w:r>
                        <w:rPr>
                          <w:rFonts w:hint="eastAsia" w:ascii="仿宋" w:hAnsi="仿宋" w:eastAsia="仿宋" w:cs="仿宋"/>
                          <w:color w:val="000000" w:themeColor="text1"/>
                          <w:sz w:val="15"/>
                          <w:szCs w:val="15"/>
                          <w:lang w:eastAsia="zh-CN"/>
                          <w14:textFill>
                            <w14:solidFill>
                              <w14:schemeClr w14:val="tx1"/>
                            </w14:solidFill>
                          </w14:textFill>
                        </w:rPr>
                        <w:t>向医保部门</w:t>
                      </w:r>
                      <w:r>
                        <w:rPr>
                          <w:rFonts w:hint="eastAsia" w:ascii="仿宋" w:hAnsi="仿宋" w:eastAsia="仿宋" w:cs="仿宋"/>
                          <w:color w:val="000000" w:themeColor="text1"/>
                          <w:sz w:val="15"/>
                          <w:szCs w:val="15"/>
                          <w14:textFill>
                            <w14:solidFill>
                              <w14:schemeClr w14:val="tx1"/>
                            </w14:solidFill>
                          </w14:textFill>
                        </w:rPr>
                        <w:t>备案</w:t>
                      </w:r>
                    </w:p>
                  </w:txbxContent>
                </v:textbox>
              </v:shape>
            </w:pict>
          </mc:Fallback>
        </mc:AlternateContent>
      </w:r>
      <w:r>
        <w:rPr>
          <w:sz w:val="36"/>
        </w:rPr>
        <mc:AlternateContent>
          <mc:Choice Requires="wps">
            <w:drawing>
              <wp:anchor distT="0" distB="0" distL="114300" distR="114300" simplePos="0" relativeHeight="251663360" behindDoc="0" locked="0" layoutInCell="1" allowOverlap="1">
                <wp:simplePos x="0" y="0"/>
                <wp:positionH relativeFrom="column">
                  <wp:posOffset>702310</wp:posOffset>
                </wp:positionH>
                <wp:positionV relativeFrom="paragraph">
                  <wp:posOffset>1560195</wp:posOffset>
                </wp:positionV>
                <wp:extent cx="2395220" cy="597535"/>
                <wp:effectExtent l="5080" t="4445" r="19050" b="7620"/>
                <wp:wrapNone/>
                <wp:docPr id="12" name="文本框 12"/>
                <wp:cNvGraphicFramePr/>
                <a:graphic xmlns:a="http://schemas.openxmlformats.org/drawingml/2006/main">
                  <a:graphicData uri="http://schemas.microsoft.com/office/word/2010/wordprocessingShape">
                    <wps:wsp>
                      <wps:cNvSpPr txBox="1"/>
                      <wps:spPr>
                        <a:xfrm>
                          <a:off x="1927860" y="4677410"/>
                          <a:ext cx="2141220" cy="597535"/>
                        </a:xfrm>
                        <a:prstGeom prst="rect">
                          <a:avLst/>
                        </a:prstGeom>
                        <a:solidFill>
                          <a:srgbClr val="FFFFFF"/>
                        </a:solidFill>
                        <a:ln w="6350">
                          <a:solidFill>
                            <a:prstClr val="black"/>
                          </a:solidFill>
                        </a:ln>
                        <a:effectLst/>
                      </wps:spPr>
                      <wps:txbx>
                        <w:txbxContent>
                          <w:p w14:paraId="323DDB4C">
                            <w:pPr>
                              <w:spacing w:line="260" w:lineRule="exact"/>
                              <w:jc w:val="center"/>
                              <w:rPr>
                                <w:rFonts w:hint="eastAsia" w:ascii="仿宋" w:hAnsi="仿宋" w:eastAsia="仿宋" w:cs="仿宋"/>
                                <w:color w:val="000000" w:themeColor="text1"/>
                                <w:sz w:val="15"/>
                                <w:szCs w:val="15"/>
                                <w:lang w:eastAsia="zh-CN"/>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医保经办机构对申请材料的完整性进行核验，在1个工作日内完成备案</w:t>
                            </w:r>
                            <w:r>
                              <w:rPr>
                                <w:rFonts w:hint="eastAsia" w:ascii="仿宋" w:hAnsi="仿宋" w:eastAsia="仿宋" w:cs="仿宋"/>
                                <w:color w:val="000000" w:themeColor="text1"/>
                                <w:sz w:val="15"/>
                                <w:szCs w:val="15"/>
                                <w:lang w:eastAsia="zh-CN"/>
                                <w14:textFill>
                                  <w14:solidFill>
                                    <w14:schemeClr w14:val="tx1"/>
                                  </w14:solidFill>
                                </w14:textFill>
                              </w:rPr>
                              <w:t>（区内定点医疗机构备案实行自动审核）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pt;margin-top:122.85pt;height:47.05pt;width:188.6pt;z-index:251663360;mso-width-relative:page;mso-height-relative:page;" fillcolor="#FFFFFF" filled="t" stroked="t" coordsize="21600,21600" o:gfxdata="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cup0NgAAAALAQAADwAAAAAAAAABACAAAAAiAAAAZHJzL2Rvd25yZXYueG1s&#10;UEsBAhQAFAAAAAgAh07iQNbQzbNqAgAA0wQAAA4AAAAAAAAAAQAgAAAAJwEAAGRycy9lMm9Eb2Mu&#10;eG1sUEsFBgAAAAAGAAYAWQEAAAMGAAAAAA==&#10;">
                <v:fill on="t" focussize="0,0"/>
                <v:stroke weight="0.5pt" color="#000000" joinstyle="round"/>
                <v:imagedata o:title=""/>
                <o:lock v:ext="edit" aspectratio="f"/>
                <v:textbox>
                  <w:txbxContent>
                    <w:p w14:paraId="323DDB4C">
                      <w:pPr>
                        <w:spacing w:line="260" w:lineRule="exact"/>
                        <w:jc w:val="center"/>
                        <w:rPr>
                          <w:rFonts w:hint="eastAsia" w:ascii="仿宋" w:hAnsi="仿宋" w:eastAsia="仿宋" w:cs="仿宋"/>
                          <w:color w:val="000000" w:themeColor="text1"/>
                          <w:sz w:val="15"/>
                          <w:szCs w:val="15"/>
                          <w:lang w:eastAsia="zh-CN"/>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医保经办机构对申请材料的完整性进行核验，在1个工作日内完成备案</w:t>
                      </w:r>
                      <w:r>
                        <w:rPr>
                          <w:rFonts w:hint="eastAsia" w:ascii="仿宋" w:hAnsi="仿宋" w:eastAsia="仿宋" w:cs="仿宋"/>
                          <w:color w:val="000000" w:themeColor="text1"/>
                          <w:sz w:val="15"/>
                          <w:szCs w:val="15"/>
                          <w:lang w:eastAsia="zh-CN"/>
                          <w14:textFill>
                            <w14:solidFill>
                              <w14:schemeClr w14:val="tx1"/>
                            </w14:solidFill>
                          </w14:textFill>
                        </w:rPr>
                        <w:t>（区内定点医疗机构备案实行自动审核）</w:t>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2676525</wp:posOffset>
                </wp:positionH>
                <wp:positionV relativeFrom="paragraph">
                  <wp:posOffset>676275</wp:posOffset>
                </wp:positionV>
                <wp:extent cx="2804160" cy="474980"/>
                <wp:effectExtent l="4445" t="4445" r="10795" b="15875"/>
                <wp:wrapNone/>
                <wp:docPr id="11" name="文本框 11"/>
                <wp:cNvGraphicFramePr/>
                <a:graphic xmlns:a="http://schemas.openxmlformats.org/drawingml/2006/main">
                  <a:graphicData uri="http://schemas.microsoft.com/office/word/2010/wordprocessingShape">
                    <wps:wsp>
                      <wps:cNvSpPr txBox="1"/>
                      <wps:spPr>
                        <a:xfrm>
                          <a:off x="4284345" y="3746500"/>
                          <a:ext cx="2508250" cy="474980"/>
                        </a:xfrm>
                        <a:prstGeom prst="rect">
                          <a:avLst/>
                        </a:prstGeom>
                        <a:solidFill>
                          <a:srgbClr val="FFFFFF"/>
                        </a:solidFill>
                        <a:ln w="6350">
                          <a:solidFill>
                            <a:prstClr val="black"/>
                          </a:solidFill>
                        </a:ln>
                        <a:effectLst/>
                      </wps:spPr>
                      <wps:txbx>
                        <w:txbxContent>
                          <w:p w14:paraId="49A7B57F">
                            <w:pPr>
                              <w:spacing w:line="260" w:lineRule="exact"/>
                              <w:rPr>
                                <w:sz w:val="15"/>
                                <w:szCs w:val="15"/>
                              </w:rPr>
                            </w:pPr>
                            <w:r>
                              <w:rPr>
                                <w:rFonts w:hint="eastAsia" w:ascii="仿宋" w:hAnsi="仿宋" w:eastAsia="仿宋" w:cs="仿宋"/>
                                <w:color w:val="000000" w:themeColor="text1"/>
                                <w:sz w:val="15"/>
                                <w:szCs w:val="15"/>
                                <w:lang w:eastAsia="zh-CN"/>
                                <w14:textFill>
                                  <w14:solidFill>
                                    <w14:schemeClr w14:val="tx1"/>
                                  </w14:solidFill>
                                </w14:textFill>
                              </w:rPr>
                              <w:t>跨省</w:t>
                            </w:r>
                            <w:r>
                              <w:rPr>
                                <w:rFonts w:hint="eastAsia" w:ascii="仿宋" w:hAnsi="仿宋" w:eastAsia="仿宋" w:cs="仿宋"/>
                                <w:color w:val="000000" w:themeColor="text1"/>
                                <w:sz w:val="15"/>
                                <w:szCs w:val="15"/>
                                <w14:textFill>
                                  <w14:solidFill>
                                    <w14:schemeClr w14:val="tx1"/>
                                  </w14:solidFill>
                                </w14:textFill>
                              </w:rPr>
                              <w:t>参保患者携带《申请表》、疾病诊断、医保电子凭证等材料线下</w:t>
                            </w:r>
                            <w:r>
                              <w:rPr>
                                <w:rFonts w:hint="eastAsia" w:ascii="仿宋" w:hAnsi="仿宋" w:eastAsia="仿宋" w:cs="仿宋"/>
                                <w:color w:val="000000" w:themeColor="text1"/>
                                <w:sz w:val="15"/>
                                <w:szCs w:val="15"/>
                                <w:lang w:eastAsia="zh-CN"/>
                                <w14:textFill>
                                  <w14:solidFill>
                                    <w14:schemeClr w14:val="tx1"/>
                                  </w14:solidFill>
                                </w14:textFill>
                              </w:rPr>
                              <w:t>（或线上）</w:t>
                            </w:r>
                            <w:r>
                              <w:rPr>
                                <w:rFonts w:hint="eastAsia" w:ascii="仿宋" w:hAnsi="仿宋" w:eastAsia="仿宋" w:cs="仿宋"/>
                                <w:color w:val="000000" w:themeColor="text1"/>
                                <w:sz w:val="15"/>
                                <w:szCs w:val="15"/>
                                <w14:textFill>
                                  <w14:solidFill>
                                    <w14:schemeClr w14:val="tx1"/>
                                  </w14:solidFill>
                                </w14:textFill>
                              </w:rPr>
                              <w:t>向</w:t>
                            </w:r>
                            <w:r>
                              <w:rPr>
                                <w:rFonts w:hint="eastAsia" w:ascii="仿宋" w:hAnsi="仿宋" w:eastAsia="仿宋" w:cs="仿宋"/>
                                <w:color w:val="000000" w:themeColor="text1"/>
                                <w:sz w:val="15"/>
                                <w:szCs w:val="15"/>
                                <w:lang w:eastAsia="zh-CN"/>
                                <w14:textFill>
                                  <w14:solidFill>
                                    <w14:schemeClr w14:val="tx1"/>
                                  </w14:solidFill>
                                </w14:textFill>
                              </w:rPr>
                              <w:t>参保地</w:t>
                            </w:r>
                            <w:r>
                              <w:rPr>
                                <w:rFonts w:hint="eastAsia" w:ascii="仿宋" w:hAnsi="仿宋" w:eastAsia="仿宋" w:cs="仿宋"/>
                                <w:color w:val="000000" w:themeColor="text1"/>
                                <w:sz w:val="15"/>
                                <w:szCs w:val="15"/>
                                <w14:textFill>
                                  <w14:solidFill>
                                    <w14:schemeClr w14:val="tx1"/>
                                  </w14:solidFill>
                                </w14:textFill>
                              </w:rPr>
                              <w:t>医保</w:t>
                            </w:r>
                            <w:r>
                              <w:rPr>
                                <w:rFonts w:hint="eastAsia" w:ascii="仿宋" w:hAnsi="仿宋" w:eastAsia="仿宋" w:cs="仿宋"/>
                                <w:color w:val="000000" w:themeColor="text1"/>
                                <w:sz w:val="15"/>
                                <w:szCs w:val="15"/>
                                <w:lang w:eastAsia="zh-CN"/>
                                <w14:textFill>
                                  <w14:solidFill>
                                    <w14:schemeClr w14:val="tx1"/>
                                  </w14:solidFill>
                                </w14:textFill>
                              </w:rPr>
                              <w:t>经办机构</w:t>
                            </w:r>
                            <w:r>
                              <w:rPr>
                                <w:rFonts w:hint="eastAsia" w:ascii="仿宋" w:hAnsi="仿宋" w:eastAsia="仿宋" w:cs="仿宋"/>
                                <w:color w:val="000000" w:themeColor="text1"/>
                                <w:sz w:val="15"/>
                                <w:szCs w:val="15"/>
                                <w14:textFill>
                                  <w14:solidFill>
                                    <w14:schemeClr w14:val="tx1"/>
                                  </w14:solidFill>
                                </w14:textFill>
                              </w:rPr>
                              <w:t>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75pt;margin-top:53.25pt;height:37.4pt;width:220.8pt;z-index:251662336;mso-width-relative:page;mso-height-relative:page;" fillcolor="#FFFFFF" filled="t" stroked="t" coordsize="21600,21600" o:gfxdata="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a5Ex3XAAAACwEAAA8AAAAAAAAAAQAgAAAAIgAAAGRycy9kb3ducmV2Lnht&#10;bFBLAQIUABQAAAAIAIdO4kB2biO7bAIAANMEAAAOAAAAAAAAAAEAIAAAACYBAABkcnMvZTJvRG9j&#10;LnhtbFBLBQYAAAAABgAGAFkBAAAEBgAAAAA=&#10;">
                <v:fill on="t" focussize="0,0"/>
                <v:stroke weight="0.5pt" color="#000000" joinstyle="round"/>
                <v:imagedata o:title=""/>
                <o:lock v:ext="edit" aspectratio="f"/>
                <v:textbox>
                  <w:txbxContent>
                    <w:p w14:paraId="49A7B57F">
                      <w:pPr>
                        <w:spacing w:line="260" w:lineRule="exact"/>
                        <w:rPr>
                          <w:sz w:val="15"/>
                          <w:szCs w:val="15"/>
                        </w:rPr>
                      </w:pPr>
                      <w:r>
                        <w:rPr>
                          <w:rFonts w:hint="eastAsia" w:ascii="仿宋" w:hAnsi="仿宋" w:eastAsia="仿宋" w:cs="仿宋"/>
                          <w:color w:val="000000" w:themeColor="text1"/>
                          <w:sz w:val="15"/>
                          <w:szCs w:val="15"/>
                          <w:lang w:eastAsia="zh-CN"/>
                          <w14:textFill>
                            <w14:solidFill>
                              <w14:schemeClr w14:val="tx1"/>
                            </w14:solidFill>
                          </w14:textFill>
                        </w:rPr>
                        <w:t>跨省</w:t>
                      </w:r>
                      <w:r>
                        <w:rPr>
                          <w:rFonts w:hint="eastAsia" w:ascii="仿宋" w:hAnsi="仿宋" w:eastAsia="仿宋" w:cs="仿宋"/>
                          <w:color w:val="000000" w:themeColor="text1"/>
                          <w:sz w:val="15"/>
                          <w:szCs w:val="15"/>
                          <w14:textFill>
                            <w14:solidFill>
                              <w14:schemeClr w14:val="tx1"/>
                            </w14:solidFill>
                          </w14:textFill>
                        </w:rPr>
                        <w:t>参保患者携带《申请表》、疾病诊断、医保电子凭证等材料线下</w:t>
                      </w:r>
                      <w:r>
                        <w:rPr>
                          <w:rFonts w:hint="eastAsia" w:ascii="仿宋" w:hAnsi="仿宋" w:eastAsia="仿宋" w:cs="仿宋"/>
                          <w:color w:val="000000" w:themeColor="text1"/>
                          <w:sz w:val="15"/>
                          <w:szCs w:val="15"/>
                          <w:lang w:eastAsia="zh-CN"/>
                          <w14:textFill>
                            <w14:solidFill>
                              <w14:schemeClr w14:val="tx1"/>
                            </w14:solidFill>
                          </w14:textFill>
                        </w:rPr>
                        <w:t>（或线上）</w:t>
                      </w:r>
                      <w:r>
                        <w:rPr>
                          <w:rFonts w:hint="eastAsia" w:ascii="仿宋" w:hAnsi="仿宋" w:eastAsia="仿宋" w:cs="仿宋"/>
                          <w:color w:val="000000" w:themeColor="text1"/>
                          <w:sz w:val="15"/>
                          <w:szCs w:val="15"/>
                          <w14:textFill>
                            <w14:solidFill>
                              <w14:schemeClr w14:val="tx1"/>
                            </w14:solidFill>
                          </w14:textFill>
                        </w:rPr>
                        <w:t>向</w:t>
                      </w:r>
                      <w:r>
                        <w:rPr>
                          <w:rFonts w:hint="eastAsia" w:ascii="仿宋" w:hAnsi="仿宋" w:eastAsia="仿宋" w:cs="仿宋"/>
                          <w:color w:val="000000" w:themeColor="text1"/>
                          <w:sz w:val="15"/>
                          <w:szCs w:val="15"/>
                          <w:lang w:eastAsia="zh-CN"/>
                          <w14:textFill>
                            <w14:solidFill>
                              <w14:schemeClr w14:val="tx1"/>
                            </w14:solidFill>
                          </w14:textFill>
                        </w:rPr>
                        <w:t>参保地</w:t>
                      </w:r>
                      <w:r>
                        <w:rPr>
                          <w:rFonts w:hint="eastAsia" w:ascii="仿宋" w:hAnsi="仿宋" w:eastAsia="仿宋" w:cs="仿宋"/>
                          <w:color w:val="000000" w:themeColor="text1"/>
                          <w:sz w:val="15"/>
                          <w:szCs w:val="15"/>
                          <w14:textFill>
                            <w14:solidFill>
                              <w14:schemeClr w14:val="tx1"/>
                            </w14:solidFill>
                          </w14:textFill>
                        </w:rPr>
                        <w:t>医保</w:t>
                      </w:r>
                      <w:r>
                        <w:rPr>
                          <w:rFonts w:hint="eastAsia" w:ascii="仿宋" w:hAnsi="仿宋" w:eastAsia="仿宋" w:cs="仿宋"/>
                          <w:color w:val="000000" w:themeColor="text1"/>
                          <w:sz w:val="15"/>
                          <w:szCs w:val="15"/>
                          <w:lang w:eastAsia="zh-CN"/>
                          <w14:textFill>
                            <w14:solidFill>
                              <w14:schemeClr w14:val="tx1"/>
                            </w14:solidFill>
                          </w14:textFill>
                        </w:rPr>
                        <w:t>经办机构</w:t>
                      </w:r>
                      <w:r>
                        <w:rPr>
                          <w:rFonts w:hint="eastAsia" w:ascii="仿宋" w:hAnsi="仿宋" w:eastAsia="仿宋" w:cs="仿宋"/>
                          <w:color w:val="000000" w:themeColor="text1"/>
                          <w:sz w:val="15"/>
                          <w:szCs w:val="15"/>
                          <w14:textFill>
                            <w14:solidFill>
                              <w14:schemeClr w14:val="tx1"/>
                            </w14:solidFill>
                          </w14:textFill>
                        </w:rPr>
                        <w:t>备案</w:t>
                      </w:r>
                    </w:p>
                  </w:txbxContent>
                </v:textbox>
              </v:shape>
            </w:pict>
          </mc:Fallback>
        </mc:AlternateContent>
      </w:r>
    </w:p>
    <w:p w14:paraId="04167D00">
      <w:pPr>
        <w:bidi w:val="0"/>
        <w:rPr>
          <w:rFonts w:asciiTheme="minorHAnsi" w:hAnsiTheme="minorHAnsi" w:eastAsiaTheme="minorEastAsia" w:cstheme="minorBidi"/>
          <w:kern w:val="2"/>
          <w:sz w:val="21"/>
          <w:szCs w:val="22"/>
          <w:lang w:val="en-US" w:eastAsia="zh-CN" w:bidi="ar-SA"/>
        </w:rPr>
      </w:pPr>
    </w:p>
    <w:p w14:paraId="21C55DB0">
      <w:pPr>
        <w:bidi w:val="0"/>
        <w:rPr>
          <w:lang w:val="en-US" w:eastAsia="zh-CN"/>
        </w:rPr>
      </w:pPr>
    </w:p>
    <w:p w14:paraId="241FBD38">
      <w:pPr>
        <w:bidi w:val="0"/>
        <w:rPr>
          <w:lang w:val="en-US" w:eastAsia="zh-CN"/>
        </w:rPr>
      </w:pPr>
    </w:p>
    <w:p w14:paraId="5F604A3F">
      <w:pPr>
        <w:bidi w:val="0"/>
        <w:rPr>
          <w:lang w:val="en-US" w:eastAsia="zh-CN"/>
        </w:rPr>
      </w:pPr>
    </w:p>
    <w:p w14:paraId="3B772B4A">
      <w:pPr>
        <w:bidi w:val="0"/>
        <w:rPr>
          <w:lang w:val="en-US" w:eastAsia="zh-CN"/>
        </w:rPr>
      </w:pPr>
    </w:p>
    <w:p w14:paraId="1F4CD3F3">
      <w:pPr>
        <w:bidi w:val="0"/>
        <w:rPr>
          <w:lang w:val="en-US" w:eastAsia="zh-CN"/>
        </w:rPr>
      </w:pPr>
    </w:p>
    <w:p w14:paraId="3FAFBB5A">
      <w:pPr>
        <w:bidi w:val="0"/>
        <w:rPr>
          <w:lang w:val="en-US" w:eastAsia="zh-CN"/>
        </w:rPr>
      </w:pPr>
    </w:p>
    <w:p w14:paraId="4B085CDF">
      <w:pPr>
        <w:bidi w:val="0"/>
        <w:rPr>
          <w:lang w:val="en-US" w:eastAsia="zh-CN"/>
        </w:rPr>
      </w:pPr>
    </w:p>
    <w:p w14:paraId="4A0DD23A">
      <w:pPr>
        <w:bidi w:val="0"/>
        <w:rPr>
          <w:lang w:val="en-US" w:eastAsia="zh-CN"/>
        </w:rPr>
      </w:pPr>
    </w:p>
    <w:p w14:paraId="73F38F4F">
      <w:pPr>
        <w:bidi w:val="0"/>
        <w:rPr>
          <w:lang w:val="en-US" w:eastAsia="zh-CN"/>
        </w:rPr>
      </w:pPr>
    </w:p>
    <w:p w14:paraId="3477022D">
      <w:pPr>
        <w:tabs>
          <w:tab w:val="left" w:pos="3640"/>
        </w:tabs>
        <w:bidi w:val="0"/>
        <w:jc w:val="left"/>
        <w:rPr>
          <w:lang w:val="en-US" w:eastAsia="zh-CN"/>
        </w:rPr>
      </w:pPr>
      <w:r>
        <w:rPr>
          <w:rFonts w:hint="eastAsia"/>
          <w:lang w:val="en-US" w:eastAsia="zh-CN"/>
        </w:rPr>
        <w:tab/>
      </w:r>
      <w:r>
        <w:rPr>
          <w:rFonts w:hint="eastAsia" w:ascii="仿宋" w:hAnsi="仿宋" w:eastAsia="仿宋" w:cs="仿宋"/>
          <w:color w:val="000000" w:themeColor="text1"/>
          <w:sz w:val="15"/>
          <w:szCs w:val="15"/>
          <w:lang w:val="en-US" w:eastAsia="zh-CN"/>
          <w14:textFill>
            <w14:solidFill>
              <w14:schemeClr w14:val="tx1"/>
            </w14:solidFill>
          </w14:textFill>
        </w:rPr>
        <w:t>医保电子处方流转平台</w:t>
      </w:r>
    </w:p>
    <w:sectPr>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4CDD">
    <w:pPr>
      <w:pStyle w:val="2"/>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CB981B">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4CB981B">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C43DA">
    <w:pPr>
      <w:pStyle w:val="2"/>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49E04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C49E04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6C51">
    <w:pPr>
      <w:pStyle w:val="2"/>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D6880C">
                          <w:pPr>
                            <w:pStyle w:val="2"/>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3D6880C">
                    <w:pPr>
                      <w:pStyle w:val="2"/>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EFD2">
    <w:pPr>
      <w:pStyle w:val="2"/>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B81531">
                          <w:pPr>
                            <w:pStyle w:val="2"/>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7AB81531">
                    <w:pPr>
                      <w:pStyle w:val="2"/>
                    </w:pPr>
                    <w:r>
                      <w:fldChar w:fldCharType="begin"/>
                    </w:r>
                    <w:r>
                      <w:instrText xml:space="preserve"> PAGE  \* MERGEFORMAT </w:instrText>
                    </w:r>
                    <w:r>
                      <w:fldChar w:fldCharType="separate"/>
                    </w:r>
                    <w:r>
                      <w:t>24</w:t>
                    </w:r>
                    <w:r>
                      <w:fldChar w:fldCharType="end"/>
                    </w:r>
                  </w:p>
                </w:txbxContent>
              </v:textbox>
            </v:shape>
          </w:pict>
        </mc:Fallback>
      </mc:AlternateContent>
    </w: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EC6C78"/>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3EEC6C78"/>
                </w:txbxContent>
              </v:textbox>
            </v:shape>
          </w:pict>
        </mc:Fallback>
      </mc:AlternateContent>
    </w: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50E6D4">
                          <w:pPr>
                            <w:pStyle w:val="2"/>
                            <w:rPr>
                              <w:rFonts w:hint="default" w:eastAsia="宋体"/>
                              <w:lang w:val="en-US" w:eastAsia="zh-CN"/>
                            </w:rPr>
                          </w:pPr>
                          <w:r>
                            <w:rPr>
                              <w:rFonts w:hint="eastAsia"/>
                              <w:lang w:val="en-US" w:eastAsia="zh-CN"/>
                            </w:rPr>
                            <w:t>12</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7950E6D4">
                    <w:pPr>
                      <w:pStyle w:val="2"/>
                      <w:rPr>
                        <w:rFonts w:hint="default" w:eastAsia="宋体"/>
                        <w:lang w:val="en-US" w:eastAsia="zh-CN"/>
                      </w:rPr>
                    </w:pPr>
                    <w:r>
                      <w:rPr>
                        <w:rFonts w:hint="eastAsia"/>
                        <w:lang w:val="en-US" w:eastAsia="zh-CN"/>
                      </w:rPr>
                      <w:t>12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1DB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69600"/>
    <w:multiLevelType w:val="singleLevel"/>
    <w:tmpl w:val="DB969600"/>
    <w:lvl w:ilvl="0" w:tentative="0">
      <w:start w:val="1"/>
      <w:numFmt w:val="chineseCounting"/>
      <w:suff w:val="space"/>
      <w:lvlText w:val="第%1条"/>
      <w:lvlJc w:val="left"/>
      <w:rPr>
        <w:rFonts w:hint="eastAsia"/>
      </w:rPr>
    </w:lvl>
  </w:abstractNum>
  <w:abstractNum w:abstractNumId="1">
    <w:nsid w:val="FF0BACF7"/>
    <w:multiLevelType w:val="singleLevel"/>
    <w:tmpl w:val="FF0BACF7"/>
    <w:lvl w:ilvl="0" w:tentative="0">
      <w:start w:val="2"/>
      <w:numFmt w:val="chineseCounting"/>
      <w:suff w:val="space"/>
      <w:lvlText w:val="第%1章"/>
      <w:lvlJc w:val="left"/>
      <w:rPr>
        <w:rFonts w:hint="eastAsia"/>
      </w:rPr>
    </w:lvl>
  </w:abstractNum>
  <w:abstractNum w:abstractNumId="2">
    <w:nsid w:val="57CE2CF0"/>
    <w:multiLevelType w:val="singleLevel"/>
    <w:tmpl w:val="57CE2CF0"/>
    <w:lvl w:ilvl="0" w:tentative="0">
      <w:start w:val="1"/>
      <w:numFmt w:val="decimal"/>
      <w:suff w:val="nothing"/>
      <w:lvlText w:val="%1."/>
      <w:lvlJc w:val="left"/>
    </w:lvl>
  </w:abstractNum>
  <w:abstractNum w:abstractNumId="3">
    <w:nsid w:val="6364FE80"/>
    <w:multiLevelType w:val="singleLevel"/>
    <w:tmpl w:val="6364FE80"/>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ODM0ZTQ4M2VlNmI5NGFlNTJmMmE4ODU2MGIxNDYifQ=="/>
  </w:docVars>
  <w:rsids>
    <w:rsidRoot w:val="00C2448E"/>
    <w:rsid w:val="00001E2C"/>
    <w:rsid w:val="000024BE"/>
    <w:rsid w:val="0000343E"/>
    <w:rsid w:val="00007AFA"/>
    <w:rsid w:val="00010E11"/>
    <w:rsid w:val="0001147F"/>
    <w:rsid w:val="00021C7A"/>
    <w:rsid w:val="000259B9"/>
    <w:rsid w:val="00026885"/>
    <w:rsid w:val="0003003B"/>
    <w:rsid w:val="00042E13"/>
    <w:rsid w:val="00046C5E"/>
    <w:rsid w:val="00050BC4"/>
    <w:rsid w:val="000563AB"/>
    <w:rsid w:val="00060939"/>
    <w:rsid w:val="00062A48"/>
    <w:rsid w:val="00065BAA"/>
    <w:rsid w:val="00066A33"/>
    <w:rsid w:val="0007276D"/>
    <w:rsid w:val="00082E35"/>
    <w:rsid w:val="00093F6D"/>
    <w:rsid w:val="0009547C"/>
    <w:rsid w:val="000B5A68"/>
    <w:rsid w:val="000C48C7"/>
    <w:rsid w:val="000D3534"/>
    <w:rsid w:val="0010286A"/>
    <w:rsid w:val="0010301F"/>
    <w:rsid w:val="0011390F"/>
    <w:rsid w:val="00114FE7"/>
    <w:rsid w:val="00121531"/>
    <w:rsid w:val="00136AAD"/>
    <w:rsid w:val="00137D33"/>
    <w:rsid w:val="00145BF0"/>
    <w:rsid w:val="00150598"/>
    <w:rsid w:val="001548F0"/>
    <w:rsid w:val="0016026D"/>
    <w:rsid w:val="00161318"/>
    <w:rsid w:val="0017032F"/>
    <w:rsid w:val="001722AA"/>
    <w:rsid w:val="001741F5"/>
    <w:rsid w:val="001746E1"/>
    <w:rsid w:val="00174907"/>
    <w:rsid w:val="00176B7B"/>
    <w:rsid w:val="00182F3E"/>
    <w:rsid w:val="00185B85"/>
    <w:rsid w:val="00186ADE"/>
    <w:rsid w:val="001933BF"/>
    <w:rsid w:val="00193511"/>
    <w:rsid w:val="00193C94"/>
    <w:rsid w:val="001C2607"/>
    <w:rsid w:val="001C295D"/>
    <w:rsid w:val="001C2F97"/>
    <w:rsid w:val="001C36C7"/>
    <w:rsid w:val="001D0290"/>
    <w:rsid w:val="001D416D"/>
    <w:rsid w:val="001D46FF"/>
    <w:rsid w:val="001D518E"/>
    <w:rsid w:val="001E717A"/>
    <w:rsid w:val="001F02D8"/>
    <w:rsid w:val="001F2008"/>
    <w:rsid w:val="00226CF2"/>
    <w:rsid w:val="002329C6"/>
    <w:rsid w:val="002350F5"/>
    <w:rsid w:val="002356EA"/>
    <w:rsid w:val="002365B8"/>
    <w:rsid w:val="0025210F"/>
    <w:rsid w:val="00252558"/>
    <w:rsid w:val="002537D6"/>
    <w:rsid w:val="00260545"/>
    <w:rsid w:val="00262978"/>
    <w:rsid w:val="002630DE"/>
    <w:rsid w:val="002705FD"/>
    <w:rsid w:val="0027517E"/>
    <w:rsid w:val="00277A4F"/>
    <w:rsid w:val="00282645"/>
    <w:rsid w:val="002905D6"/>
    <w:rsid w:val="00290C5C"/>
    <w:rsid w:val="002A1F56"/>
    <w:rsid w:val="002A21CF"/>
    <w:rsid w:val="002D0541"/>
    <w:rsid w:val="002D235C"/>
    <w:rsid w:val="002D4A9B"/>
    <w:rsid w:val="002D7467"/>
    <w:rsid w:val="002E41C8"/>
    <w:rsid w:val="002E4B45"/>
    <w:rsid w:val="002E76DE"/>
    <w:rsid w:val="002F0E4F"/>
    <w:rsid w:val="002F7AAE"/>
    <w:rsid w:val="00301386"/>
    <w:rsid w:val="0030730B"/>
    <w:rsid w:val="00310D2E"/>
    <w:rsid w:val="00315F71"/>
    <w:rsid w:val="00317316"/>
    <w:rsid w:val="00323BE2"/>
    <w:rsid w:val="00327574"/>
    <w:rsid w:val="003336E8"/>
    <w:rsid w:val="003374B1"/>
    <w:rsid w:val="0034315D"/>
    <w:rsid w:val="00344887"/>
    <w:rsid w:val="00345C7E"/>
    <w:rsid w:val="00346C10"/>
    <w:rsid w:val="003475DA"/>
    <w:rsid w:val="00347C1A"/>
    <w:rsid w:val="00351777"/>
    <w:rsid w:val="00363875"/>
    <w:rsid w:val="00365D11"/>
    <w:rsid w:val="003759D3"/>
    <w:rsid w:val="00377CAF"/>
    <w:rsid w:val="00397EEE"/>
    <w:rsid w:val="003A57CE"/>
    <w:rsid w:val="003A5F45"/>
    <w:rsid w:val="003B2E5E"/>
    <w:rsid w:val="003D21C0"/>
    <w:rsid w:val="003D28E9"/>
    <w:rsid w:val="003D6CDB"/>
    <w:rsid w:val="003E13FB"/>
    <w:rsid w:val="003E1567"/>
    <w:rsid w:val="003F1142"/>
    <w:rsid w:val="003F49DA"/>
    <w:rsid w:val="00402736"/>
    <w:rsid w:val="004038B4"/>
    <w:rsid w:val="0042119A"/>
    <w:rsid w:val="00421DEA"/>
    <w:rsid w:val="004236DE"/>
    <w:rsid w:val="004255FA"/>
    <w:rsid w:val="00436260"/>
    <w:rsid w:val="0043642A"/>
    <w:rsid w:val="004367DF"/>
    <w:rsid w:val="004377A6"/>
    <w:rsid w:val="00441D2B"/>
    <w:rsid w:val="004469C2"/>
    <w:rsid w:val="00450804"/>
    <w:rsid w:val="00452CCB"/>
    <w:rsid w:val="00476C70"/>
    <w:rsid w:val="00485C0C"/>
    <w:rsid w:val="00491BC7"/>
    <w:rsid w:val="0049312A"/>
    <w:rsid w:val="004962C9"/>
    <w:rsid w:val="004A1E38"/>
    <w:rsid w:val="004A4328"/>
    <w:rsid w:val="004C1195"/>
    <w:rsid w:val="004C517D"/>
    <w:rsid w:val="004C7326"/>
    <w:rsid w:val="004D4995"/>
    <w:rsid w:val="004D5717"/>
    <w:rsid w:val="004D7087"/>
    <w:rsid w:val="004D7DD0"/>
    <w:rsid w:val="004E0EBD"/>
    <w:rsid w:val="004E4B90"/>
    <w:rsid w:val="004F27A6"/>
    <w:rsid w:val="0050082B"/>
    <w:rsid w:val="00501B0E"/>
    <w:rsid w:val="0050688E"/>
    <w:rsid w:val="00507CC7"/>
    <w:rsid w:val="00510284"/>
    <w:rsid w:val="00510FFA"/>
    <w:rsid w:val="00515C7C"/>
    <w:rsid w:val="00531B41"/>
    <w:rsid w:val="005322CC"/>
    <w:rsid w:val="005568AF"/>
    <w:rsid w:val="00557CED"/>
    <w:rsid w:val="00563BE2"/>
    <w:rsid w:val="005670D6"/>
    <w:rsid w:val="00567DFD"/>
    <w:rsid w:val="00571B22"/>
    <w:rsid w:val="00577736"/>
    <w:rsid w:val="0058659B"/>
    <w:rsid w:val="00597C75"/>
    <w:rsid w:val="005A788A"/>
    <w:rsid w:val="005B1833"/>
    <w:rsid w:val="005B6CC8"/>
    <w:rsid w:val="005C1575"/>
    <w:rsid w:val="005C2A7B"/>
    <w:rsid w:val="005C7300"/>
    <w:rsid w:val="005D6963"/>
    <w:rsid w:val="005D6B44"/>
    <w:rsid w:val="005E041F"/>
    <w:rsid w:val="005E1729"/>
    <w:rsid w:val="005E3378"/>
    <w:rsid w:val="005E3631"/>
    <w:rsid w:val="00606923"/>
    <w:rsid w:val="006119CA"/>
    <w:rsid w:val="00613033"/>
    <w:rsid w:val="00613B6F"/>
    <w:rsid w:val="0062279B"/>
    <w:rsid w:val="006231A8"/>
    <w:rsid w:val="0062332C"/>
    <w:rsid w:val="0062458D"/>
    <w:rsid w:val="00637628"/>
    <w:rsid w:val="0064060F"/>
    <w:rsid w:val="00650317"/>
    <w:rsid w:val="00656C08"/>
    <w:rsid w:val="00665FE9"/>
    <w:rsid w:val="00666732"/>
    <w:rsid w:val="00667281"/>
    <w:rsid w:val="00675E88"/>
    <w:rsid w:val="0067754B"/>
    <w:rsid w:val="006776CC"/>
    <w:rsid w:val="00683228"/>
    <w:rsid w:val="00692CA5"/>
    <w:rsid w:val="00694B08"/>
    <w:rsid w:val="006A6AEC"/>
    <w:rsid w:val="006B1ABC"/>
    <w:rsid w:val="006B72AF"/>
    <w:rsid w:val="006B73A5"/>
    <w:rsid w:val="006C39F1"/>
    <w:rsid w:val="006C40E2"/>
    <w:rsid w:val="006D3554"/>
    <w:rsid w:val="006E0B8C"/>
    <w:rsid w:val="006E69BD"/>
    <w:rsid w:val="006E6FD3"/>
    <w:rsid w:val="006E7765"/>
    <w:rsid w:val="006F18A4"/>
    <w:rsid w:val="006F262B"/>
    <w:rsid w:val="00704362"/>
    <w:rsid w:val="00705E34"/>
    <w:rsid w:val="00705F59"/>
    <w:rsid w:val="00715746"/>
    <w:rsid w:val="00715C5A"/>
    <w:rsid w:val="0072122D"/>
    <w:rsid w:val="00724AFC"/>
    <w:rsid w:val="00725D42"/>
    <w:rsid w:val="0072633D"/>
    <w:rsid w:val="0074501B"/>
    <w:rsid w:val="0075381A"/>
    <w:rsid w:val="0075457A"/>
    <w:rsid w:val="00761453"/>
    <w:rsid w:val="00764782"/>
    <w:rsid w:val="00771CE6"/>
    <w:rsid w:val="00771EDD"/>
    <w:rsid w:val="00775E35"/>
    <w:rsid w:val="007A1496"/>
    <w:rsid w:val="007A3893"/>
    <w:rsid w:val="007A4ECA"/>
    <w:rsid w:val="007B1988"/>
    <w:rsid w:val="007B24D1"/>
    <w:rsid w:val="007C053F"/>
    <w:rsid w:val="007C0890"/>
    <w:rsid w:val="007D43B3"/>
    <w:rsid w:val="007F16A3"/>
    <w:rsid w:val="007F34E0"/>
    <w:rsid w:val="0080747C"/>
    <w:rsid w:val="00811967"/>
    <w:rsid w:val="00816DDD"/>
    <w:rsid w:val="00831941"/>
    <w:rsid w:val="008319E8"/>
    <w:rsid w:val="00840A4B"/>
    <w:rsid w:val="00841A48"/>
    <w:rsid w:val="0087401F"/>
    <w:rsid w:val="00875F18"/>
    <w:rsid w:val="00876E18"/>
    <w:rsid w:val="00881C00"/>
    <w:rsid w:val="00882025"/>
    <w:rsid w:val="008836E2"/>
    <w:rsid w:val="0089584D"/>
    <w:rsid w:val="00896301"/>
    <w:rsid w:val="008A4126"/>
    <w:rsid w:val="008A7E86"/>
    <w:rsid w:val="008B6853"/>
    <w:rsid w:val="008E698F"/>
    <w:rsid w:val="008E7AED"/>
    <w:rsid w:val="008F0373"/>
    <w:rsid w:val="009058B2"/>
    <w:rsid w:val="00914193"/>
    <w:rsid w:val="009151B1"/>
    <w:rsid w:val="00916730"/>
    <w:rsid w:val="00920DB2"/>
    <w:rsid w:val="0093316F"/>
    <w:rsid w:val="00935BA3"/>
    <w:rsid w:val="009464A3"/>
    <w:rsid w:val="00952D56"/>
    <w:rsid w:val="00960E9C"/>
    <w:rsid w:val="00964F9B"/>
    <w:rsid w:val="00966740"/>
    <w:rsid w:val="0097333F"/>
    <w:rsid w:val="00975740"/>
    <w:rsid w:val="00975865"/>
    <w:rsid w:val="009768C0"/>
    <w:rsid w:val="00995961"/>
    <w:rsid w:val="009A68AD"/>
    <w:rsid w:val="009B070D"/>
    <w:rsid w:val="009B182E"/>
    <w:rsid w:val="009B3371"/>
    <w:rsid w:val="009C339A"/>
    <w:rsid w:val="009D02BD"/>
    <w:rsid w:val="009D368B"/>
    <w:rsid w:val="009E1EC6"/>
    <w:rsid w:val="009E2B78"/>
    <w:rsid w:val="009E55D7"/>
    <w:rsid w:val="009F0EEA"/>
    <w:rsid w:val="009F32F1"/>
    <w:rsid w:val="009F4AB2"/>
    <w:rsid w:val="009F6937"/>
    <w:rsid w:val="00A07ED5"/>
    <w:rsid w:val="00A14332"/>
    <w:rsid w:val="00A20FEE"/>
    <w:rsid w:val="00A23640"/>
    <w:rsid w:val="00A26D37"/>
    <w:rsid w:val="00A40C61"/>
    <w:rsid w:val="00A4482A"/>
    <w:rsid w:val="00A55BDC"/>
    <w:rsid w:val="00A5799A"/>
    <w:rsid w:val="00A6187E"/>
    <w:rsid w:val="00A64D43"/>
    <w:rsid w:val="00A65A71"/>
    <w:rsid w:val="00A858D4"/>
    <w:rsid w:val="00A90B48"/>
    <w:rsid w:val="00A953FD"/>
    <w:rsid w:val="00AA0429"/>
    <w:rsid w:val="00AA2E9B"/>
    <w:rsid w:val="00AA5F06"/>
    <w:rsid w:val="00AB2EBA"/>
    <w:rsid w:val="00AB36A7"/>
    <w:rsid w:val="00AB5DDA"/>
    <w:rsid w:val="00AC24F0"/>
    <w:rsid w:val="00AD1EC9"/>
    <w:rsid w:val="00AD7EC2"/>
    <w:rsid w:val="00AE034D"/>
    <w:rsid w:val="00AE2032"/>
    <w:rsid w:val="00AF0514"/>
    <w:rsid w:val="00AF173F"/>
    <w:rsid w:val="00AF2816"/>
    <w:rsid w:val="00AF3F01"/>
    <w:rsid w:val="00AF6D70"/>
    <w:rsid w:val="00B029DF"/>
    <w:rsid w:val="00B0756C"/>
    <w:rsid w:val="00B11C43"/>
    <w:rsid w:val="00B122E6"/>
    <w:rsid w:val="00B21DC7"/>
    <w:rsid w:val="00B23D06"/>
    <w:rsid w:val="00B31DB8"/>
    <w:rsid w:val="00B32FF5"/>
    <w:rsid w:val="00B35711"/>
    <w:rsid w:val="00B3795C"/>
    <w:rsid w:val="00B4487E"/>
    <w:rsid w:val="00B54929"/>
    <w:rsid w:val="00B61621"/>
    <w:rsid w:val="00B70787"/>
    <w:rsid w:val="00B76EEB"/>
    <w:rsid w:val="00B80A0A"/>
    <w:rsid w:val="00B91341"/>
    <w:rsid w:val="00BC1550"/>
    <w:rsid w:val="00BC41DC"/>
    <w:rsid w:val="00BC6783"/>
    <w:rsid w:val="00BE6726"/>
    <w:rsid w:val="00BF4EBC"/>
    <w:rsid w:val="00C062C0"/>
    <w:rsid w:val="00C10881"/>
    <w:rsid w:val="00C12E4A"/>
    <w:rsid w:val="00C145F7"/>
    <w:rsid w:val="00C15A37"/>
    <w:rsid w:val="00C1673E"/>
    <w:rsid w:val="00C2448E"/>
    <w:rsid w:val="00C302E1"/>
    <w:rsid w:val="00C356CA"/>
    <w:rsid w:val="00C42994"/>
    <w:rsid w:val="00C44104"/>
    <w:rsid w:val="00C44AF3"/>
    <w:rsid w:val="00C65C65"/>
    <w:rsid w:val="00C770F8"/>
    <w:rsid w:val="00C82572"/>
    <w:rsid w:val="00C9050C"/>
    <w:rsid w:val="00CA189E"/>
    <w:rsid w:val="00CA2CD6"/>
    <w:rsid w:val="00CB128B"/>
    <w:rsid w:val="00CB39EA"/>
    <w:rsid w:val="00CC27FB"/>
    <w:rsid w:val="00CC584D"/>
    <w:rsid w:val="00CC7C48"/>
    <w:rsid w:val="00CD0BB9"/>
    <w:rsid w:val="00CD4228"/>
    <w:rsid w:val="00CE35D8"/>
    <w:rsid w:val="00CF1FE3"/>
    <w:rsid w:val="00CF20E2"/>
    <w:rsid w:val="00CF21A1"/>
    <w:rsid w:val="00CF6FA1"/>
    <w:rsid w:val="00D02080"/>
    <w:rsid w:val="00D061FF"/>
    <w:rsid w:val="00D11D1A"/>
    <w:rsid w:val="00D14875"/>
    <w:rsid w:val="00D16036"/>
    <w:rsid w:val="00D16DB8"/>
    <w:rsid w:val="00D21FAC"/>
    <w:rsid w:val="00D35016"/>
    <w:rsid w:val="00D4390E"/>
    <w:rsid w:val="00D52041"/>
    <w:rsid w:val="00D520E0"/>
    <w:rsid w:val="00D6224B"/>
    <w:rsid w:val="00D65568"/>
    <w:rsid w:val="00D7681E"/>
    <w:rsid w:val="00D86E52"/>
    <w:rsid w:val="00D921EA"/>
    <w:rsid w:val="00DA16F8"/>
    <w:rsid w:val="00DD11B3"/>
    <w:rsid w:val="00DD282E"/>
    <w:rsid w:val="00DF0595"/>
    <w:rsid w:val="00DF3218"/>
    <w:rsid w:val="00DF41BE"/>
    <w:rsid w:val="00DF5518"/>
    <w:rsid w:val="00DF6205"/>
    <w:rsid w:val="00E01C2D"/>
    <w:rsid w:val="00E06342"/>
    <w:rsid w:val="00E07A07"/>
    <w:rsid w:val="00E10D6B"/>
    <w:rsid w:val="00E1761A"/>
    <w:rsid w:val="00E26B59"/>
    <w:rsid w:val="00E31EE9"/>
    <w:rsid w:val="00E340A9"/>
    <w:rsid w:val="00E41C2A"/>
    <w:rsid w:val="00E5064C"/>
    <w:rsid w:val="00E52FE8"/>
    <w:rsid w:val="00E54B85"/>
    <w:rsid w:val="00E576E9"/>
    <w:rsid w:val="00E6413B"/>
    <w:rsid w:val="00E7142A"/>
    <w:rsid w:val="00E80899"/>
    <w:rsid w:val="00E8155A"/>
    <w:rsid w:val="00E81D6C"/>
    <w:rsid w:val="00E823F3"/>
    <w:rsid w:val="00E8265C"/>
    <w:rsid w:val="00E863B3"/>
    <w:rsid w:val="00E91D0F"/>
    <w:rsid w:val="00E94AD5"/>
    <w:rsid w:val="00EA2704"/>
    <w:rsid w:val="00EA4FD5"/>
    <w:rsid w:val="00EB3393"/>
    <w:rsid w:val="00EB5A03"/>
    <w:rsid w:val="00ED04FF"/>
    <w:rsid w:val="00ED07B1"/>
    <w:rsid w:val="00ED0CBC"/>
    <w:rsid w:val="00ED2DFC"/>
    <w:rsid w:val="00ED7209"/>
    <w:rsid w:val="00EE1990"/>
    <w:rsid w:val="00EE4BC4"/>
    <w:rsid w:val="00EF1CDA"/>
    <w:rsid w:val="00EF4F60"/>
    <w:rsid w:val="00EF68CB"/>
    <w:rsid w:val="00F0033B"/>
    <w:rsid w:val="00F05977"/>
    <w:rsid w:val="00F06026"/>
    <w:rsid w:val="00F103E2"/>
    <w:rsid w:val="00F11CEA"/>
    <w:rsid w:val="00F17D9D"/>
    <w:rsid w:val="00F2137A"/>
    <w:rsid w:val="00F42CAE"/>
    <w:rsid w:val="00F452A7"/>
    <w:rsid w:val="00F506A1"/>
    <w:rsid w:val="00F579A0"/>
    <w:rsid w:val="00F64CB0"/>
    <w:rsid w:val="00F64D98"/>
    <w:rsid w:val="00F665B7"/>
    <w:rsid w:val="00F80999"/>
    <w:rsid w:val="00FB3B04"/>
    <w:rsid w:val="00FC620D"/>
    <w:rsid w:val="00FC7835"/>
    <w:rsid w:val="00FD679A"/>
    <w:rsid w:val="00FE0AA2"/>
    <w:rsid w:val="011F7F39"/>
    <w:rsid w:val="01BD7EA4"/>
    <w:rsid w:val="01C25065"/>
    <w:rsid w:val="02750329"/>
    <w:rsid w:val="03DA6B8B"/>
    <w:rsid w:val="06E44496"/>
    <w:rsid w:val="0AB63E71"/>
    <w:rsid w:val="0B1701D0"/>
    <w:rsid w:val="0F137EA9"/>
    <w:rsid w:val="0F1676E0"/>
    <w:rsid w:val="11E44F7D"/>
    <w:rsid w:val="12B74046"/>
    <w:rsid w:val="1A3A6F7C"/>
    <w:rsid w:val="1D4C4C8D"/>
    <w:rsid w:val="216D06F2"/>
    <w:rsid w:val="22E70030"/>
    <w:rsid w:val="270C275B"/>
    <w:rsid w:val="28624545"/>
    <w:rsid w:val="288E2BF7"/>
    <w:rsid w:val="28BD4CFB"/>
    <w:rsid w:val="2957098C"/>
    <w:rsid w:val="2C0D4CB6"/>
    <w:rsid w:val="2C523EB0"/>
    <w:rsid w:val="2CE50EAB"/>
    <w:rsid w:val="2DDB0792"/>
    <w:rsid w:val="30CE0774"/>
    <w:rsid w:val="343C3F54"/>
    <w:rsid w:val="35B2271F"/>
    <w:rsid w:val="35D94150"/>
    <w:rsid w:val="37626D55"/>
    <w:rsid w:val="37D526F5"/>
    <w:rsid w:val="3CD14407"/>
    <w:rsid w:val="3D934BC4"/>
    <w:rsid w:val="3DCC4147"/>
    <w:rsid w:val="3EA86DAB"/>
    <w:rsid w:val="3FAE3F57"/>
    <w:rsid w:val="4678158B"/>
    <w:rsid w:val="48E019B0"/>
    <w:rsid w:val="4A0D295A"/>
    <w:rsid w:val="4C79769B"/>
    <w:rsid w:val="506030F9"/>
    <w:rsid w:val="5206564C"/>
    <w:rsid w:val="52C138E9"/>
    <w:rsid w:val="52CD24EF"/>
    <w:rsid w:val="546B3D08"/>
    <w:rsid w:val="5A1B7FE4"/>
    <w:rsid w:val="5D842724"/>
    <w:rsid w:val="5ED6392C"/>
    <w:rsid w:val="61332EE7"/>
    <w:rsid w:val="61CF250A"/>
    <w:rsid w:val="61FE21E1"/>
    <w:rsid w:val="6404589F"/>
    <w:rsid w:val="65DA188C"/>
    <w:rsid w:val="6679056C"/>
    <w:rsid w:val="67A94E81"/>
    <w:rsid w:val="686D2352"/>
    <w:rsid w:val="6FA95C21"/>
    <w:rsid w:val="72E331F2"/>
    <w:rsid w:val="74321150"/>
    <w:rsid w:val="782729AF"/>
    <w:rsid w:val="7A514DE8"/>
    <w:rsid w:val="7B340AAD"/>
    <w:rsid w:val="7B9E47B0"/>
    <w:rsid w:val="7CB26257"/>
    <w:rsid w:val="7D9214A4"/>
    <w:rsid w:val="7E09286B"/>
    <w:rsid w:val="7F1E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155</Words>
  <Characters>158</Characters>
  <Lines>44</Lines>
  <Paragraphs>12</Paragraphs>
  <TotalTime>25</TotalTime>
  <ScaleCrop>false</ScaleCrop>
  <LinksUpToDate>false</LinksUpToDate>
  <CharactersWithSpaces>179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2022-05-16T01:25:00Z</dcterms:created>
  <dc:creator>李学军</dc:creator>
  <cp:lastModifiedBy>李</cp:lastModifiedBy>
  <dcterms:modified xsi:type="dcterms:W3CDTF">2024-11-01T08:43:04Z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684E0743ED2B4C869AA4874407ECF437_13</vt:lpwstr>
  </property>
</Properties>
</file>