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80BA">
      <w:pPr>
        <w:pStyle w:val="3"/>
        <w:keepNext w:val="0"/>
        <w:keepLines w:val="0"/>
        <w:widowControl/>
        <w:suppressLineNumbers w:val="0"/>
        <w:autoSpaceDE w:val="0"/>
        <w:autoSpaceDN/>
        <w:spacing w:before="0" w:beforeAutospacing="0" w:after="0" w:afterAutospacing="0" w:line="580" w:lineRule="exact"/>
        <w:ind w:left="0" w:right="0" w:firstLine="0"/>
        <w:jc w:val="both"/>
        <w:rPr>
          <w:rFonts w:hint="eastAsia" w:ascii="方正黑体_GBK" w:hAnsi="方正黑体_GBK" w:eastAsia="方正黑体_GBK" w:cs="方正黑体_GBK"/>
          <w:b w:val="0"/>
          <w:bCs w:val="0"/>
          <w:color w:val="000000"/>
          <w:spacing w:val="5"/>
          <w:kern w:val="0"/>
          <w:sz w:val="32"/>
          <w:szCs w:val="32"/>
          <w:shd w:val="clear" w:fill="FFFFFF"/>
        </w:rPr>
      </w:pPr>
      <w:r>
        <w:rPr>
          <w:rFonts w:hint="eastAsia" w:ascii="方正黑体_GBK" w:hAnsi="方正黑体_GBK" w:eastAsia="方正黑体_GBK" w:cs="方正黑体_GBK"/>
          <w:b w:val="0"/>
          <w:bCs w:val="0"/>
          <w:color w:val="000000"/>
          <w:spacing w:val="5"/>
          <w:kern w:val="0"/>
          <w:sz w:val="32"/>
          <w:szCs w:val="32"/>
          <w:shd w:val="clear" w:fill="FFFFFF"/>
          <w:lang w:val="en-US" w:eastAsia="zh-CN" w:bidi="ar"/>
        </w:rPr>
        <w:t>附件1</w:t>
      </w:r>
    </w:p>
    <w:p w14:paraId="7C6546FA">
      <w:pPr>
        <w:pStyle w:val="3"/>
        <w:keepNext w:val="0"/>
        <w:keepLines w:val="0"/>
        <w:widowControl/>
        <w:suppressLineNumbers w:val="0"/>
        <w:autoSpaceDE w:val="0"/>
        <w:autoSpaceDN/>
        <w:spacing w:before="0" w:beforeAutospacing="0" w:after="0" w:afterAutospacing="0" w:line="580" w:lineRule="exact"/>
        <w:ind w:left="0" w:right="0" w:firstLine="0"/>
        <w:jc w:val="center"/>
        <w:rPr>
          <w:rFonts w:hint="eastAsia" w:ascii="方正小标宋简体" w:hAnsi="Microsoft YaHei UI" w:eastAsia="方正小标宋简体" w:cs="Microsoft YaHei UI"/>
          <w:b w:val="0"/>
          <w:bCs w:val="0"/>
          <w:color w:val="000000"/>
          <w:spacing w:val="5"/>
          <w:kern w:val="0"/>
          <w:sz w:val="44"/>
          <w:szCs w:val="44"/>
          <w:shd w:val="clear" w:fill="FFFFFF"/>
        </w:rPr>
      </w:pPr>
      <w:r>
        <w:rPr>
          <w:rFonts w:hint="eastAsia" w:ascii="方正小标宋简体" w:hAnsi="Microsoft YaHei UI" w:eastAsia="方正小标宋简体" w:cs="Microsoft YaHei UI"/>
          <w:b w:val="0"/>
          <w:bCs w:val="0"/>
          <w:color w:val="000000"/>
          <w:spacing w:val="5"/>
          <w:kern w:val="0"/>
          <w:sz w:val="44"/>
          <w:szCs w:val="44"/>
          <w:shd w:val="clear" w:fill="FFFFFF"/>
          <w:lang w:val="en-US" w:eastAsia="zh-CN" w:bidi="ar"/>
        </w:rPr>
        <w:t xml:space="preserve"> </w:t>
      </w:r>
    </w:p>
    <w:p w14:paraId="196CADBA">
      <w:pPr>
        <w:pStyle w:val="3"/>
        <w:keepNext w:val="0"/>
        <w:keepLines w:val="0"/>
        <w:widowControl/>
        <w:suppressLineNumbers w:val="0"/>
        <w:autoSpaceDE w:val="0"/>
        <w:autoSpaceDN/>
        <w:spacing w:before="0" w:beforeAutospacing="0" w:after="0" w:afterAutospacing="0" w:line="580" w:lineRule="exact"/>
        <w:ind w:left="0" w:right="0" w:firstLine="0"/>
        <w:jc w:val="center"/>
        <w:rPr>
          <w:rFonts w:hint="eastAsia" w:ascii="方正小标宋简体" w:hAnsi="Microsoft YaHei UI" w:eastAsia="方正小标宋简体" w:cs="Microsoft YaHei UI"/>
          <w:b w:val="0"/>
          <w:bCs w:val="0"/>
          <w:color w:val="000000"/>
          <w:spacing w:val="5"/>
          <w:kern w:val="0"/>
          <w:sz w:val="44"/>
          <w:szCs w:val="44"/>
          <w:shd w:val="clear" w:fill="FFFFFF"/>
        </w:rPr>
      </w:pPr>
      <w:r>
        <w:rPr>
          <w:rFonts w:hint="eastAsia" w:ascii="方正小标宋简体" w:hAnsi="方正小标宋简体" w:eastAsia="方正小标宋简体" w:cs="方正小标宋简体"/>
          <w:b w:val="0"/>
          <w:bCs w:val="0"/>
          <w:color w:val="000000"/>
          <w:spacing w:val="5"/>
          <w:kern w:val="0"/>
          <w:sz w:val="44"/>
          <w:szCs w:val="44"/>
          <w:shd w:val="clear" w:fill="FFFFFF"/>
          <w:lang w:val="en-US" w:eastAsia="zh-CN" w:bidi="ar"/>
        </w:rPr>
        <w:t>意见</w:t>
      </w:r>
      <w:r>
        <w:rPr>
          <w:rFonts w:hint="eastAsia" w:ascii="方正小标宋简体" w:hAnsi="Microsoft YaHei UI" w:eastAsia="方正小标宋简体" w:cs="Microsoft YaHei UI"/>
          <w:b w:val="0"/>
          <w:bCs w:val="0"/>
          <w:color w:val="000000"/>
          <w:spacing w:val="5"/>
          <w:kern w:val="0"/>
          <w:sz w:val="44"/>
          <w:szCs w:val="44"/>
          <w:shd w:val="clear" w:fill="FFFFFF"/>
          <w:lang w:val="en-US" w:eastAsia="zh-CN" w:bidi="ar"/>
        </w:rPr>
        <w:t>建议反馈</w:t>
      </w:r>
      <w:r>
        <w:rPr>
          <w:rFonts w:hint="eastAsia" w:ascii="方正小标宋简体" w:hAnsi="方正小标宋简体" w:eastAsia="方正小标宋简体" w:cs="方正小标宋简体"/>
          <w:b w:val="0"/>
          <w:bCs w:val="0"/>
          <w:color w:val="000000"/>
          <w:spacing w:val="5"/>
          <w:kern w:val="0"/>
          <w:sz w:val="44"/>
          <w:szCs w:val="44"/>
          <w:shd w:val="clear" w:fill="FFFFFF"/>
          <w:lang w:val="en-US" w:eastAsia="zh-CN" w:bidi="ar"/>
        </w:rPr>
        <w:t>表</w:t>
      </w:r>
    </w:p>
    <w:p w14:paraId="0C3D9BA6">
      <w:pPr>
        <w:keepNext w:val="0"/>
        <w:keepLines w:val="0"/>
        <w:widowControl w:val="0"/>
        <w:suppressLineNumbers w:val="0"/>
        <w:spacing w:before="0" w:beforeAutospacing="0" w:after="0" w:afterAutospacing="0" w:line="560" w:lineRule="exact"/>
        <w:ind w:left="0" w:right="0"/>
        <w:jc w:val="both"/>
        <w:rPr>
          <w:rFonts w:hint="default" w:ascii="方正小标宋简体" w:hAnsi="Times New Roman" w:eastAsia="黑体" w:cs="Times New Roman"/>
          <w:kern w:val="2"/>
          <w:sz w:val="28"/>
          <w:szCs w:val="28"/>
        </w:rPr>
      </w:pPr>
      <w:r>
        <w:rPr>
          <w:rFonts w:hint="default" w:ascii="黑体" w:hAnsi="宋体" w:eastAsia="黑体" w:cs="宋体"/>
          <w:color w:val="000000"/>
          <w:kern w:val="0"/>
          <w:sz w:val="28"/>
          <w:szCs w:val="28"/>
          <w:lang w:val="en-US" w:eastAsia="zh-CN" w:bidi="ar"/>
        </w:rPr>
        <w:t>反馈单位：</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0"/>
        <w:gridCol w:w="1870"/>
        <w:gridCol w:w="2550"/>
        <w:gridCol w:w="2194"/>
        <w:gridCol w:w="1688"/>
      </w:tblGrid>
      <w:tr w14:paraId="2D17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8"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63FE7BDF">
            <w:pPr>
              <w:keepNext w:val="0"/>
              <w:keepLines w:val="0"/>
              <w:widowControl/>
              <w:suppressLineNumbers w:val="0"/>
              <w:spacing w:before="0" w:beforeAutospacing="0" w:after="0" w:afterAutospacing="0" w:line="240" w:lineRule="exact"/>
              <w:ind w:left="0" w:right="0"/>
              <w:jc w:val="center"/>
              <w:rPr>
                <w:rFonts w:hint="default" w:ascii="黑体" w:hAnsi="宋体" w:eastAsia="黑体" w:cs="宋体"/>
                <w:color w:val="000000"/>
                <w:kern w:val="0"/>
                <w:sz w:val="22"/>
                <w:szCs w:val="22"/>
              </w:rPr>
            </w:pPr>
            <w:r>
              <w:rPr>
                <w:rFonts w:hint="default" w:ascii="黑体" w:hAnsi="宋体" w:eastAsia="黑体" w:cs="宋体"/>
                <w:color w:val="000000"/>
                <w:kern w:val="0"/>
                <w:sz w:val="22"/>
                <w:szCs w:val="22"/>
                <w:lang w:val="en-US" w:eastAsia="zh-CN" w:bidi="ar"/>
              </w:rPr>
              <w:t>序号</w:t>
            </w: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7B7BF07D">
            <w:pPr>
              <w:keepNext w:val="0"/>
              <w:keepLines w:val="0"/>
              <w:widowControl/>
              <w:suppressLineNumbers w:val="0"/>
              <w:spacing w:before="0" w:beforeAutospacing="0" w:after="0" w:afterAutospacing="0" w:line="240" w:lineRule="exact"/>
              <w:ind w:left="0" w:right="0"/>
              <w:jc w:val="center"/>
              <w:rPr>
                <w:rFonts w:hint="default" w:ascii="黑体" w:hAnsi="宋体" w:eastAsia="黑体" w:cs="宋体"/>
                <w:color w:val="000000"/>
                <w:kern w:val="0"/>
                <w:sz w:val="22"/>
                <w:szCs w:val="22"/>
              </w:rPr>
            </w:pPr>
            <w:r>
              <w:rPr>
                <w:rFonts w:hint="default" w:ascii="黑体" w:hAnsi="宋体" w:eastAsia="黑体" w:cs="宋体"/>
                <w:color w:val="000000"/>
                <w:kern w:val="0"/>
                <w:sz w:val="22"/>
                <w:szCs w:val="22"/>
                <w:lang w:val="en-US" w:eastAsia="zh-CN" w:bidi="ar"/>
              </w:rPr>
              <w:t>原稿内容</w:t>
            </w: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37DEEEE0">
            <w:pPr>
              <w:keepNext w:val="0"/>
              <w:keepLines w:val="0"/>
              <w:widowControl/>
              <w:suppressLineNumbers w:val="0"/>
              <w:spacing w:before="0" w:beforeAutospacing="0" w:after="0" w:afterAutospacing="0" w:line="240" w:lineRule="exact"/>
              <w:ind w:left="0" w:right="0"/>
              <w:jc w:val="center"/>
              <w:rPr>
                <w:rFonts w:hint="default" w:ascii="黑体" w:hAnsi="宋体" w:eastAsia="黑体" w:cs="宋体"/>
                <w:color w:val="000000"/>
                <w:kern w:val="0"/>
                <w:sz w:val="22"/>
                <w:szCs w:val="22"/>
              </w:rPr>
            </w:pPr>
            <w:r>
              <w:rPr>
                <w:rFonts w:hint="default" w:ascii="黑体" w:hAnsi="宋体" w:eastAsia="黑体" w:cs="宋体"/>
                <w:color w:val="000000"/>
                <w:kern w:val="0"/>
                <w:sz w:val="22"/>
                <w:szCs w:val="22"/>
                <w:lang w:val="en-US" w:eastAsia="zh-CN" w:bidi="ar"/>
              </w:rPr>
              <w:t>修改意见建议</w:t>
            </w:r>
          </w:p>
        </w:tc>
        <w:tc>
          <w:tcPr>
            <w:tcW w:w="1214" w:type="pct"/>
            <w:tcBorders>
              <w:top w:val="single" w:color="auto" w:sz="4" w:space="0"/>
              <w:left w:val="nil"/>
              <w:bottom w:val="single" w:color="auto" w:sz="4" w:space="0"/>
              <w:right w:val="single" w:color="auto" w:sz="4" w:space="0"/>
            </w:tcBorders>
            <w:shd w:val="clear" w:color="auto" w:fill="auto"/>
            <w:vAlign w:val="center"/>
          </w:tcPr>
          <w:p w14:paraId="004AA760">
            <w:pPr>
              <w:keepNext w:val="0"/>
              <w:keepLines w:val="0"/>
              <w:widowControl/>
              <w:suppressLineNumbers w:val="0"/>
              <w:spacing w:before="0" w:beforeAutospacing="0" w:after="0" w:afterAutospacing="0" w:line="240" w:lineRule="exact"/>
              <w:ind w:left="0" w:right="0"/>
              <w:jc w:val="center"/>
              <w:rPr>
                <w:rFonts w:hint="default" w:ascii="黑体" w:hAnsi="宋体" w:eastAsia="黑体" w:cs="宋体"/>
                <w:color w:val="000000"/>
                <w:kern w:val="0"/>
                <w:sz w:val="22"/>
                <w:szCs w:val="22"/>
              </w:rPr>
            </w:pPr>
            <w:r>
              <w:rPr>
                <w:rFonts w:hint="default" w:ascii="黑体" w:hAnsi="宋体" w:eastAsia="黑体" w:cs="宋体"/>
                <w:color w:val="000000"/>
                <w:kern w:val="0"/>
                <w:sz w:val="22"/>
                <w:szCs w:val="22"/>
                <w:lang w:val="en-US" w:eastAsia="zh-CN" w:bidi="ar"/>
              </w:rPr>
              <w:t>修改原因</w:t>
            </w: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0D95E154">
            <w:pPr>
              <w:keepNext w:val="0"/>
              <w:keepLines w:val="0"/>
              <w:widowControl/>
              <w:suppressLineNumbers w:val="0"/>
              <w:spacing w:before="0" w:beforeAutospacing="0" w:after="0" w:afterAutospacing="0" w:line="240" w:lineRule="exact"/>
              <w:ind w:left="0" w:right="0"/>
              <w:jc w:val="center"/>
              <w:rPr>
                <w:rFonts w:hint="default" w:ascii="黑体" w:hAnsi="宋体" w:eastAsia="黑体" w:cs="宋体"/>
                <w:color w:val="000000"/>
                <w:kern w:val="0"/>
                <w:sz w:val="22"/>
                <w:szCs w:val="22"/>
              </w:rPr>
            </w:pPr>
            <w:r>
              <w:rPr>
                <w:rFonts w:hint="default" w:ascii="黑体" w:hAnsi="宋体" w:eastAsia="黑体" w:cs="宋体"/>
                <w:color w:val="000000"/>
                <w:kern w:val="0"/>
                <w:sz w:val="22"/>
                <w:szCs w:val="22"/>
                <w:lang w:val="en-US" w:eastAsia="zh-CN" w:bidi="ar"/>
              </w:rPr>
              <w:t>备注</w:t>
            </w:r>
          </w:p>
        </w:tc>
      </w:tr>
      <w:tr w14:paraId="74AD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5BDD698F">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5E11D250">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32062432">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3B7BD682">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23A02F5A">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5138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2CE94DA4">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69D3CFB9">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0DD8C027">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42F1137B">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3F82C8F8">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63B9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09D815AE">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67E5938E">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692BAD4A">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1FE232F9">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7E772097">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1525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141D0076">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2BFD7815">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695A6F5B">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2D6F7C3B">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4BF18162">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2720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0F691283">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680E4AD0">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53C80D66">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185F2417">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3E37C675">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0727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75AE00A7">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5FF7D78B">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7F9FF07E">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2254679B">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6E15742D">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4660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32EBC2D6">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49EAAD60">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63BC3095">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17EF9A61">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14E0B31B">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36D0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0FB0E22E">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0D6F907D">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3844652E">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2C0FE119">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260AC076">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0E44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565BE4C2">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077FBA6B">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261A2096">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77FA9713">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228240DC">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77D0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5EE576A4">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21B12586">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27C3B0DA">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30D0C527">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12B7DDE7">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r w14:paraId="209B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0328BCA8">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1035" w:type="pct"/>
            <w:tcBorders>
              <w:top w:val="single" w:color="auto" w:sz="4" w:space="0"/>
              <w:left w:val="nil"/>
              <w:bottom w:val="single" w:color="auto" w:sz="4" w:space="0"/>
              <w:right w:val="single" w:color="auto" w:sz="4" w:space="0"/>
            </w:tcBorders>
            <w:shd w:val="clear" w:color="auto" w:fill="auto"/>
            <w:noWrap/>
            <w:vAlign w:val="center"/>
          </w:tcPr>
          <w:p w14:paraId="56665A3F">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411" w:type="pct"/>
            <w:tcBorders>
              <w:top w:val="single" w:color="auto" w:sz="4" w:space="0"/>
              <w:left w:val="nil"/>
              <w:bottom w:val="single" w:color="auto" w:sz="4" w:space="0"/>
              <w:right w:val="single" w:color="auto" w:sz="4" w:space="0"/>
            </w:tcBorders>
            <w:shd w:val="clear" w:color="auto" w:fill="auto"/>
            <w:noWrap/>
            <w:vAlign w:val="center"/>
          </w:tcPr>
          <w:p w14:paraId="1E2DCBCA">
            <w:pPr>
              <w:keepNext w:val="0"/>
              <w:keepLines w:val="0"/>
              <w:widowControl/>
              <w:suppressLineNumbers w:val="0"/>
              <w:spacing w:before="0" w:beforeAutospacing="0" w:after="0" w:afterAutospacing="0" w:line="240" w:lineRule="exact"/>
              <w:ind w:left="0" w:right="0"/>
              <w:jc w:val="both"/>
              <w:rPr>
                <w:rFonts w:hint="eastAsia" w:ascii="等线" w:hAnsi="等线" w:eastAsia="等线" w:cs="宋体"/>
                <w:color w:val="000000"/>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21A5A7C4">
            <w:pPr>
              <w:keepNext w:val="0"/>
              <w:keepLines w:val="0"/>
              <w:widowControl/>
              <w:suppressLineNumbers w:val="0"/>
              <w:spacing w:before="0" w:beforeAutospacing="0" w:after="0" w:afterAutospacing="0" w:line="240" w:lineRule="exact"/>
              <w:ind w:left="0" w:right="0"/>
              <w:jc w:val="center"/>
              <w:rPr>
                <w:rFonts w:hint="eastAsia" w:ascii="等线" w:hAnsi="等线" w:eastAsia="等线" w:cs="宋体"/>
                <w:color w:val="000000"/>
                <w:kern w:val="0"/>
                <w:sz w:val="22"/>
                <w:szCs w:val="22"/>
              </w:rPr>
            </w:pPr>
          </w:p>
        </w:tc>
        <w:tc>
          <w:tcPr>
            <w:tcW w:w="934" w:type="pct"/>
            <w:tcBorders>
              <w:top w:val="single" w:color="auto" w:sz="4" w:space="0"/>
              <w:left w:val="nil"/>
              <w:bottom w:val="single" w:color="auto" w:sz="4" w:space="0"/>
              <w:right w:val="single" w:color="auto" w:sz="4" w:space="0"/>
            </w:tcBorders>
            <w:shd w:val="clear" w:color="auto" w:fill="auto"/>
            <w:noWrap/>
            <w:vAlign w:val="center"/>
          </w:tcPr>
          <w:p w14:paraId="6ADE9FE8">
            <w:pPr>
              <w:keepNext w:val="0"/>
              <w:keepLines w:val="0"/>
              <w:widowControl/>
              <w:suppressLineNumbers w:val="0"/>
              <w:spacing w:before="0" w:beforeAutospacing="0" w:after="0" w:afterAutospacing="0" w:line="240" w:lineRule="exact"/>
              <w:ind w:left="0" w:right="0"/>
              <w:jc w:val="both"/>
              <w:rPr>
                <w:rFonts w:hint="eastAsia" w:ascii="仿宋_GB2312" w:eastAsia="仿宋_GB2312" w:cs="仿宋_GB2312"/>
                <w:color w:val="000000"/>
                <w:kern w:val="0"/>
                <w:sz w:val="22"/>
                <w:szCs w:val="22"/>
              </w:rPr>
            </w:pPr>
          </w:p>
        </w:tc>
      </w:tr>
    </w:tbl>
    <w:p w14:paraId="11AD10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233527A2">
      <w:pPr>
        <w:keepNext w:val="0"/>
        <w:keepLines w:val="0"/>
        <w:widowControl w:val="0"/>
        <w:suppressLineNumbers w:val="0"/>
        <w:snapToGrid w:val="0"/>
        <w:spacing w:before="0" w:beforeAutospacing="0" w:after="0" w:afterAutospacing="0" w:line="600" w:lineRule="exact"/>
        <w:ind w:left="0" w:right="0"/>
        <w:jc w:val="both"/>
        <w:rPr>
          <w:rFonts w:hint="eastAsia" w:ascii="方正黑体_GBK" w:hAnsi="方正黑体_GBK" w:eastAsia="方正黑体_GBK" w:cs="方正黑体_GBK"/>
          <w:color w:val="000000"/>
          <w:kern w:val="0"/>
          <w:sz w:val="32"/>
          <w:szCs w:val="32"/>
          <w:lang w:val="en-US" w:eastAsia="zh-CN" w:bidi="ar"/>
        </w:rPr>
      </w:pPr>
    </w:p>
    <w:p w14:paraId="6186F6FE">
      <w:pPr>
        <w:keepNext w:val="0"/>
        <w:keepLines w:val="0"/>
        <w:widowControl w:val="0"/>
        <w:suppressLineNumbers w:val="0"/>
        <w:snapToGrid w:val="0"/>
        <w:spacing w:before="0" w:beforeAutospacing="0" w:after="0" w:afterAutospacing="0" w:line="600" w:lineRule="exact"/>
        <w:ind w:left="0" w:right="0"/>
        <w:jc w:val="both"/>
        <w:rPr>
          <w:rFonts w:hint="eastAsia" w:ascii="方正黑体_GBK" w:hAnsi="方正黑体_GBK" w:eastAsia="方正黑体_GBK" w:cs="方正黑体_GBK"/>
          <w:color w:val="000000"/>
          <w:kern w:val="0"/>
          <w:sz w:val="32"/>
          <w:szCs w:val="32"/>
          <w:lang w:val="en-US" w:eastAsia="zh-CN" w:bidi="ar"/>
        </w:rPr>
      </w:pPr>
      <w:bookmarkStart w:id="0" w:name="_GoBack"/>
      <w:bookmarkEnd w:id="0"/>
    </w:p>
    <w:p w14:paraId="5A2B21EE">
      <w:pPr>
        <w:keepNext w:val="0"/>
        <w:keepLines w:val="0"/>
        <w:widowControl w:val="0"/>
        <w:suppressLineNumbers w:val="0"/>
        <w:snapToGrid w:val="0"/>
        <w:spacing w:before="0" w:beforeAutospacing="0" w:after="0" w:afterAutospacing="0" w:line="560" w:lineRule="atLeast"/>
        <w:ind w:left="0" w:right="0"/>
        <w:jc w:val="both"/>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附件2</w:t>
      </w:r>
    </w:p>
    <w:p w14:paraId="36F10D9E">
      <w:pPr>
        <w:keepNext w:val="0"/>
        <w:keepLines w:val="0"/>
        <w:widowControl w:val="0"/>
        <w:suppressLineNumbers w:val="0"/>
        <w:snapToGrid w:val="0"/>
        <w:spacing w:before="0" w:beforeAutospacing="0" w:after="0" w:afterAutospacing="0" w:line="560" w:lineRule="atLeast"/>
        <w:ind w:left="0" w:right="0"/>
        <w:jc w:val="center"/>
        <w:rPr>
          <w:rFonts w:hint="eastAsia" w:ascii="仿宋_GB2312" w:eastAsia="仿宋_GB2312" w:cs="仿宋_GB2312"/>
          <w:color w:val="000000"/>
          <w:kern w:val="0"/>
          <w:sz w:val="32"/>
          <w:szCs w:val="32"/>
        </w:rPr>
      </w:pPr>
      <w:r>
        <w:rPr>
          <w:rFonts w:hint="eastAsia" w:ascii="仿宋_GB2312" w:hAnsi="Times New Roman" w:eastAsia="仿宋_GB2312" w:cs="仿宋_GB2312"/>
          <w:color w:val="000000"/>
          <w:kern w:val="0"/>
          <w:sz w:val="32"/>
          <w:szCs w:val="32"/>
          <w:lang w:val="en-US" w:eastAsia="zh-CN" w:bidi="ar"/>
        </w:rPr>
        <w:t xml:space="preserve"> </w:t>
      </w:r>
    </w:p>
    <w:p w14:paraId="5F76F9C3">
      <w:pPr>
        <w:keepNext w:val="0"/>
        <w:keepLines w:val="0"/>
        <w:widowControl w:val="0"/>
        <w:suppressLineNumbers w:val="0"/>
        <w:snapToGrid w:val="0"/>
        <w:spacing w:before="0" w:beforeAutospacing="0" w:after="0" w:afterAutospacing="0" w:line="560" w:lineRule="atLeas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自治区公立医疗机构医用耗材</w:t>
      </w:r>
    </w:p>
    <w:p w14:paraId="259CB82E">
      <w:pPr>
        <w:keepNext w:val="0"/>
        <w:keepLines w:val="0"/>
        <w:widowControl w:val="0"/>
        <w:suppressLineNumbers w:val="0"/>
        <w:snapToGrid w:val="0"/>
        <w:spacing w:before="0" w:beforeAutospacing="0" w:after="0" w:afterAutospacing="0" w:line="560" w:lineRule="atLeas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挂网采购实施方案（试行）</w:t>
      </w:r>
    </w:p>
    <w:p w14:paraId="17158F9F">
      <w:pPr>
        <w:keepNext w:val="0"/>
        <w:keepLines w:val="0"/>
        <w:widowControl w:val="0"/>
        <w:suppressLineNumbers w:val="0"/>
        <w:snapToGrid w:val="0"/>
        <w:spacing w:before="0" w:beforeAutospacing="0" w:after="0" w:afterAutospacing="0" w:line="560" w:lineRule="atLeast"/>
        <w:ind w:left="0" w:right="0"/>
        <w:jc w:val="center"/>
        <w:rPr>
          <w:rFonts w:hint="eastAsia" w:ascii="楷体_GB2312" w:eastAsia="楷体_GB2312" w:cs="楷体_GB2312"/>
          <w:kern w:val="2"/>
          <w:sz w:val="32"/>
          <w:szCs w:val="32"/>
        </w:rPr>
      </w:pPr>
      <w:r>
        <w:rPr>
          <w:rFonts w:hint="eastAsia" w:ascii="楷体_GB2312" w:hAnsi="Times New Roman" w:eastAsia="楷体_GB2312" w:cs="楷体_GB2312"/>
          <w:kern w:val="2"/>
          <w:sz w:val="32"/>
          <w:szCs w:val="32"/>
          <w:lang w:val="en-US" w:eastAsia="zh-CN" w:bidi="ar"/>
        </w:rPr>
        <w:t>（征求意见稿）</w:t>
      </w:r>
    </w:p>
    <w:p w14:paraId="2AB37D75">
      <w:pPr>
        <w:pStyle w:val="2"/>
        <w:widowControl/>
        <w:snapToGrid w:val="0"/>
        <w:spacing w:line="560" w:lineRule="atLeast"/>
        <w:ind w:left="0"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 xml:space="preserve"> </w:t>
      </w:r>
    </w:p>
    <w:p w14:paraId="73ABF382">
      <w:pPr>
        <w:pStyle w:val="2"/>
        <w:widowControl/>
        <w:snapToGrid w:val="0"/>
        <w:spacing w:line="560" w:lineRule="atLeast"/>
        <w:ind w:left="0"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为贯彻落实《中共中央</w:t>
      </w:r>
      <w:r>
        <w:rPr>
          <w:rFonts w:hint="eastAsia" w:ascii="仿宋_GB2312" w:eastAsia="仿宋_GB2312" w:cs="仿宋_GB2312"/>
          <w:kern w:val="2"/>
          <w:sz w:val="32"/>
          <w:szCs w:val="32"/>
          <w:lang w:val="en-US" w:eastAsia="zh-CN"/>
        </w:rPr>
        <w:t xml:space="preserve"> </w:t>
      </w:r>
      <w:r>
        <w:rPr>
          <w:rFonts w:hint="eastAsia" w:ascii="仿宋_GB2312" w:eastAsia="仿宋_GB2312" w:cs="仿宋_GB2312"/>
          <w:kern w:val="2"/>
          <w:sz w:val="32"/>
          <w:szCs w:val="32"/>
        </w:rPr>
        <w:t>国务院关于深化医疗保障制度改革的意见》（中发〔2020〕5号）和中共宁夏回族自治区委员会印发</w:t>
      </w:r>
      <w:r>
        <w:rPr>
          <w:rFonts w:hint="eastAsia" w:ascii="仿宋_GB2312" w:eastAsia="仿宋_GB2312" w:cs="仿宋_GB2312"/>
          <w:kern w:val="2"/>
          <w:sz w:val="32"/>
          <w:szCs w:val="32"/>
          <w:lang w:eastAsia="zh-CN"/>
        </w:rPr>
        <w:t>的《</w:t>
      </w:r>
      <w:r>
        <w:rPr>
          <w:rFonts w:hint="eastAsia" w:ascii="仿宋_GB2312" w:eastAsia="仿宋_GB2312" w:cs="仿宋_GB2312"/>
          <w:kern w:val="2"/>
          <w:sz w:val="32"/>
          <w:szCs w:val="32"/>
        </w:rPr>
        <w:t>关于深化医疗保障制度改革的实施意见》（宁党发〔2021〕13号）要求，进一步完善自治区医用耗材挂网采购机制，结合我区实际，制定本实施方案。</w:t>
      </w:r>
    </w:p>
    <w:p w14:paraId="4216625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 xml:space="preserve"> </w:t>
      </w:r>
    </w:p>
    <w:p w14:paraId="5520593F">
      <w:pPr>
        <w:keepNext w:val="0"/>
        <w:keepLines w:val="0"/>
        <w:widowControl w:val="0"/>
        <w:suppressLineNumbers w:val="0"/>
        <w:snapToGrid w:val="0"/>
        <w:spacing w:before="0" w:beforeAutospacing="0" w:after="0" w:afterAutospacing="0" w:line="560" w:lineRule="atLeast"/>
        <w:ind w:left="0" w:right="0"/>
        <w:jc w:val="center"/>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第一部分  总  则</w:t>
      </w:r>
    </w:p>
    <w:p w14:paraId="3DE03E2F">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一、总体要求</w:t>
      </w:r>
    </w:p>
    <w:p w14:paraId="153692C9">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（一）指导思想。</w:t>
      </w:r>
      <w:r>
        <w:rPr>
          <w:rFonts w:hint="eastAsia" w:ascii="仿宋_GB2312" w:hAnsi="Times New Roman" w:eastAsia="仿宋_GB2312" w:cs="仿宋_GB2312"/>
          <w:kern w:val="2"/>
          <w:sz w:val="32"/>
          <w:szCs w:val="32"/>
          <w:lang w:val="en-US" w:eastAsia="zh-CN" w:bidi="ar"/>
        </w:rPr>
        <w:t>按照市场在资源配置中起决定性作用和更好发挥政府作用的总要求，逐步建立医疗机构在医用耗材采购中的主体地位，规范采购行为，建设“阳光透明、价格合理、质量安全、供应保障、动态调整、优化提升”的自治区医疗机构医用耗材网上采购新机制。深化推进医药卫生体制改革，建立并不断完善符合自治区医疗服务特点的医疗机构医用耗材采购、结算及流通体系，构建医疗机构医用耗材供应保障新模式，充分激发医疗机构良性发展内生动力，切实减轻人民群众医药费用负担。</w:t>
      </w:r>
    </w:p>
    <w:p w14:paraId="6D62BEA3">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（二）基本原则。</w:t>
      </w:r>
      <w:r>
        <w:rPr>
          <w:rFonts w:hint="eastAsia" w:ascii="仿宋_GB2312" w:hAnsi="Times New Roman" w:eastAsia="仿宋_GB2312" w:cs="仿宋_GB2312"/>
          <w:kern w:val="2"/>
          <w:sz w:val="32"/>
          <w:szCs w:val="32"/>
          <w:lang w:val="en-US" w:eastAsia="zh-CN" w:bidi="ar"/>
        </w:rPr>
        <w:t>一是坚持以人民为中心。保障临床需求，切实减轻群众使用医用耗材费用负担，确保医用耗材质量和供应。二是坚持依法合规、公平公正。严格执行相关政策规定和协议约定，确保采购工作规范有序、公开透明。三是坚持市场机制和政府作用相结合。按照市场在资源配置中起决定性作用和更好发挥政府作用要求，促进公平竞争和形成合理价格。四是坚持三医联动和综合监管。完善配套政策，推动医疗、医保、医药事业相互促进，有序发展。</w:t>
      </w:r>
    </w:p>
    <w:p w14:paraId="13096A73">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二、覆盖范围</w:t>
      </w:r>
    </w:p>
    <w:p w14:paraId="5BA08E6E">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（三）医用耗材范围。</w:t>
      </w:r>
      <w:r>
        <w:rPr>
          <w:rFonts w:hint="eastAsia" w:ascii="仿宋_GB2312" w:hAnsi="Times New Roman" w:eastAsia="仿宋_GB2312" w:cs="仿宋_GB2312"/>
          <w:kern w:val="2"/>
          <w:sz w:val="32"/>
          <w:szCs w:val="32"/>
          <w:lang w:val="en-US" w:eastAsia="zh-CN" w:bidi="ar"/>
        </w:rPr>
        <w:t>执行国家统一的医用耗材分类和编码标准，共十七大类：非血管介入治疗类材料、血管介入治疗类材料、骨科材料、神经外科材料、心脏外科类材料、人工器官组织及配套材料、口腔材料、眼科材料、体外循环材料、血液净化材料、吻合器及附件、修补材料、中医类材料、基础卫生材料、止血防粘连材料、注射穿刺类材料、功能性敷料。</w:t>
      </w:r>
    </w:p>
    <w:p w14:paraId="45BAAD16">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（四）企业范围。</w:t>
      </w:r>
      <w:r>
        <w:rPr>
          <w:rFonts w:hint="eastAsia" w:ascii="仿宋_GB2312" w:hAnsi="Times New Roman" w:eastAsia="仿宋_GB2312" w:cs="仿宋_GB2312"/>
          <w:kern w:val="2"/>
          <w:sz w:val="32"/>
          <w:szCs w:val="32"/>
          <w:lang w:val="en-US" w:eastAsia="zh-CN" w:bidi="ar"/>
        </w:rPr>
        <w:t>经药品监督管理部门批准的医用耗材上市许可持有人、医用耗材上市许可持有人委托的医用耗材生产企业，境外产品全国总代理视为生产企业（以下简称生产企业），经药品监督管理部门批准的医用耗材经营配送企业。</w:t>
      </w:r>
    </w:p>
    <w:p w14:paraId="49D656F5">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（五）医疗机构范围。</w:t>
      </w:r>
      <w:r>
        <w:rPr>
          <w:rFonts w:hint="eastAsia" w:ascii="仿宋_GB2312" w:hAnsi="Times New Roman" w:eastAsia="仿宋_GB2312" w:cs="仿宋_GB2312"/>
          <w:kern w:val="2"/>
          <w:sz w:val="32"/>
          <w:szCs w:val="32"/>
          <w:lang w:val="en-US" w:eastAsia="zh-CN" w:bidi="ar"/>
        </w:rPr>
        <w:t>原则上全区所有公立医疗机构（含军队医疗机构，下同）全部所需医用耗材应在宁夏医药采购平台</w:t>
      </w:r>
      <w:r>
        <w:rPr>
          <w:rFonts w:hint="eastAsia" w:ascii="仿宋_GB2312" w:hAnsi="宋体" w:eastAsia="仿宋_GB2312" w:cs="仿宋_GB2312"/>
          <w:i w:val="0"/>
          <w:iCs w:val="0"/>
          <w:caps w:val="0"/>
          <w:spacing w:val="0"/>
          <w:kern w:val="2"/>
          <w:sz w:val="31"/>
          <w:szCs w:val="31"/>
          <w:shd w:val="clear" w:fill="FFFFFF"/>
          <w:lang w:val="en-US" w:eastAsia="zh-CN" w:bidi="ar"/>
        </w:rPr>
        <w:t>（或医药招采子系统，以下统称“平台”）</w:t>
      </w:r>
      <w:r>
        <w:rPr>
          <w:rFonts w:hint="eastAsia" w:ascii="仿宋_GB2312" w:hAnsi="Times New Roman" w:eastAsia="仿宋_GB2312" w:cs="仿宋_GB2312"/>
          <w:kern w:val="2"/>
          <w:sz w:val="32"/>
          <w:szCs w:val="32"/>
          <w:lang w:val="en-US" w:eastAsia="zh-CN" w:bidi="ar"/>
        </w:rPr>
        <w:t>阳光采购、公开交易，医保定点社会办医疗机构按照定点协议管理的要求参照执行。</w:t>
      </w:r>
    </w:p>
    <w:p w14:paraId="19A184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560" w:lineRule="atLeast"/>
        <w:ind w:left="0" w:right="0" w:firstLine="645"/>
        <w:jc w:val="both"/>
        <w:rPr>
          <w:rFonts w:hint="default" w:ascii="黑体" w:hAnsi="宋体" w:eastAsia="黑体" w:cs="黑体"/>
          <w:kern w:val="0"/>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新增公立医疗机构、确需独立采购的基层医疗卫生机构、自愿参加平台采购的医保定点民营医疗机构需平台采购的，应向属地市级医保部门提交申请，经市级医保部门审核同意后，由市级医保部门向自治区医保局申请开通有关机构平台采购账户，并接受我区医用耗材集中采购工作相关政策规定考核管理。驻宁军队医疗机构需开展平台采购的，直接向自治区医保部门提交申请。</w:t>
      </w:r>
    </w:p>
    <w:p w14:paraId="2AB5F982">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三、信用评价</w:t>
      </w:r>
    </w:p>
    <w:p w14:paraId="502E2757">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（六）严格落实信用评价制度。</w:t>
      </w:r>
      <w:r>
        <w:rPr>
          <w:rFonts w:hint="eastAsia" w:ascii="仿宋_GB2312" w:hAnsi="Times New Roman" w:eastAsia="仿宋_GB2312" w:cs="仿宋_GB2312"/>
          <w:kern w:val="2"/>
          <w:sz w:val="32"/>
          <w:szCs w:val="32"/>
          <w:lang w:val="en-US" w:eastAsia="zh-CN" w:bidi="ar"/>
        </w:rPr>
        <w:t>按照国家医疗保障局《关于建立医药价格和招采信用评价制度的指导意见》（医保发〔2020〕34号）、《国家医疗保障局办公室关于进一步完善医药价格和招采信用评价制度的通知》（医保发办〔2025〕10号）、《自治区医疗保障局关于贯彻执行</w:t>
      </w:r>
      <w:r>
        <w:rPr>
          <w:rFonts w:hint="eastAsia" w:ascii="仿宋_GB2312"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国家医疗保障局关于建立医药价格和招采信用评价制度的指导意见</w:t>
      </w:r>
      <w:r>
        <w:rPr>
          <w:rFonts w:hint="eastAsia" w:ascii="仿宋_GB2312" w:eastAsia="仿宋_GB2312" w:cs="仿宋_GB2312"/>
          <w:kern w:val="2"/>
          <w:sz w:val="32"/>
          <w:szCs w:val="32"/>
          <w:lang w:val="en-US" w:eastAsia="zh-CN" w:bidi="ar"/>
        </w:rPr>
        <w:t>〉的通知》</w:t>
      </w:r>
      <w:r>
        <w:rPr>
          <w:rFonts w:hint="eastAsia" w:ascii="仿宋_GB2312" w:hAnsi="Times New Roman" w:eastAsia="仿宋_GB2312" w:cs="仿宋_GB2312"/>
          <w:kern w:val="2"/>
          <w:sz w:val="32"/>
          <w:szCs w:val="32"/>
          <w:lang w:val="en-US" w:eastAsia="zh-CN" w:bidi="ar"/>
        </w:rPr>
        <w:t>（宁医保发〔2020〕139号）的有关规定，根据失信行为的性质、情节、时效、影响等因素，将挂网企业在挂网采购中的失信情况纳入医药价格和招采信用评价管理。</w:t>
      </w:r>
    </w:p>
    <w:p w14:paraId="4BBDD211">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 xml:space="preserve"> </w:t>
      </w:r>
    </w:p>
    <w:p w14:paraId="22CF2211">
      <w:pPr>
        <w:keepNext w:val="0"/>
        <w:keepLines w:val="0"/>
        <w:widowControl w:val="0"/>
        <w:suppressLineNumbers w:val="0"/>
        <w:snapToGrid w:val="0"/>
        <w:spacing w:before="0" w:beforeAutospacing="0" w:after="0" w:afterAutospacing="0" w:line="560" w:lineRule="atLeast"/>
        <w:ind w:left="0" w:right="0"/>
        <w:jc w:val="center"/>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第二部分  挂网管理</w:t>
      </w:r>
    </w:p>
    <w:p w14:paraId="7C51D320">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一、资质申报条件</w:t>
      </w:r>
    </w:p>
    <w:p w14:paraId="2A997A43">
      <w:pPr>
        <w:pStyle w:val="2"/>
        <w:widowControl/>
        <w:snapToGrid w:val="0"/>
        <w:spacing w:line="560" w:lineRule="atLeast"/>
        <w:ind w:left="0" w:firstLine="640" w:firstLineChars="200"/>
        <w:rPr>
          <w:rFonts w:hint="eastAsia" w:ascii="仿宋_GB2312" w:eastAsia="仿宋_GB2312" w:cs="仿宋_GB2312"/>
          <w:kern w:val="2"/>
          <w:sz w:val="32"/>
          <w:szCs w:val="32"/>
          <w:highlight w:val="yellow"/>
        </w:rPr>
      </w:pPr>
      <w:r>
        <w:rPr>
          <w:rFonts w:hint="default" w:ascii="楷体" w:hAnsi="楷体" w:eastAsia="楷体" w:cs="楷体"/>
          <w:kern w:val="2"/>
          <w:sz w:val="32"/>
          <w:szCs w:val="32"/>
        </w:rPr>
        <w:t>（一）企业资质申报。</w:t>
      </w:r>
      <w:r>
        <w:rPr>
          <w:rFonts w:hint="eastAsia" w:ascii="仿宋_GB2312" w:eastAsia="仿宋_GB2312" w:cs="仿宋_GB2312"/>
          <w:kern w:val="2"/>
          <w:sz w:val="32"/>
          <w:szCs w:val="32"/>
        </w:rPr>
        <w:t>1.生产企业申报资料包括：企业营业执照、企业法定代表人有效证件、医药企业价格和营销行为信用承诺书、医疗器械生产许可证或医疗器械生产备案凭证（国产）/医疗器械经营许可证或医疗器械经营备案凭证和总代理证明材料（进口</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rPr>
        <w:t>、法定代表人授权书等。2.经营（配送）企业申报资料包括：企业营业执照、企业法定代表人有效证件、医疗器械经营许可证或医疗器械经营备案凭证、医药企业价格和营销行为信用承诺书、法定代表人授权书等。</w:t>
      </w:r>
    </w:p>
    <w:p w14:paraId="20FB581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楷体" w:hAnsi="楷体" w:eastAsia="楷体" w:cs="楷体"/>
          <w:kern w:val="2"/>
          <w:sz w:val="32"/>
          <w:szCs w:val="32"/>
        </w:rPr>
      </w:pPr>
      <w:r>
        <w:rPr>
          <w:rFonts w:hint="default" w:ascii="楷体" w:hAnsi="楷体" w:eastAsia="楷体" w:cs="楷体"/>
          <w:kern w:val="2"/>
          <w:sz w:val="32"/>
          <w:szCs w:val="32"/>
          <w:lang w:val="en-US" w:eastAsia="zh-CN" w:bidi="ar"/>
        </w:rPr>
        <w:t>（二）产品资质申报。</w:t>
      </w:r>
    </w:p>
    <w:p w14:paraId="45B0A5EB">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1.已在全国其他省级平台挂网的产品。</w:t>
      </w:r>
      <w:r>
        <w:rPr>
          <w:rFonts w:hint="eastAsia" w:ascii="仿宋_GB2312" w:hAnsi="Times New Roman" w:eastAsia="仿宋_GB2312" w:cs="仿宋_GB2312"/>
          <w:kern w:val="2"/>
          <w:sz w:val="32"/>
          <w:szCs w:val="32"/>
          <w:lang w:val="en-US" w:eastAsia="zh-CN" w:bidi="ar"/>
        </w:rPr>
        <w:t>按照国家统一的医用耗材分类和编码标准，生产企业通过平台完善基础数据库，申报全国现行省级（含自治区、直辖市，下同）挂网价中最低价，经审核公示无异议后，按最低价挂网。供全区医疗机构采购。申报资料包括：</w:t>
      </w:r>
    </w:p>
    <w:p w14:paraId="7E9F5C0C">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（1）合规产品资质；</w:t>
      </w:r>
    </w:p>
    <w:p w14:paraId="1554DB2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（2）全国现行省级挂网价中最低价及证明材料。</w:t>
      </w:r>
    </w:p>
    <w:p w14:paraId="0BCBA083">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2.集中带量采购产品。</w:t>
      </w:r>
      <w:r>
        <w:rPr>
          <w:rFonts w:hint="eastAsia" w:ascii="仿宋_GB2312" w:hAnsi="Times New Roman" w:eastAsia="仿宋_GB2312" w:cs="仿宋_GB2312"/>
          <w:kern w:val="2"/>
          <w:sz w:val="32"/>
          <w:szCs w:val="32"/>
          <w:lang w:val="en-US" w:eastAsia="zh-CN" w:bidi="ar"/>
        </w:rPr>
        <w:t>国家、省级联盟集中带量采购医用耗材，生产企业通过平台完善基础数据库，医疗机构按照国家、自治区有关规定执行采购。如有在其他省级或省际联盟中选企业愿以中选价格在我区供应中选产品的，可通过平台完善基础数据库后，以中选价格直接挂网。</w:t>
      </w:r>
    </w:p>
    <w:p w14:paraId="364A73C8">
      <w:pPr>
        <w:pStyle w:val="6"/>
        <w:keepNext w:val="0"/>
        <w:keepLines w:val="0"/>
        <w:widowControl/>
        <w:suppressLineNumbers w:val="0"/>
        <w:snapToGrid w:val="0"/>
        <w:spacing w:line="560" w:lineRule="atLeast"/>
        <w:ind w:left="0" w:firstLine="640" w:firstLineChars="200"/>
        <w:rPr>
          <w:rFonts w:hint="eastAsia" w:ascii="仿宋_GB2312" w:eastAsia="仿宋_GB2312" w:cs="仿宋_GB2312"/>
          <w:kern w:val="2"/>
          <w:sz w:val="32"/>
          <w:szCs w:val="32"/>
        </w:rPr>
      </w:pPr>
      <w:r>
        <w:rPr>
          <w:rFonts w:hint="eastAsia" w:ascii="仿宋_GB2312" w:eastAsia="仿宋_GB2312" w:cs="仿宋_GB2312"/>
          <w:kern w:val="2"/>
          <w:sz w:val="32"/>
          <w:szCs w:val="32"/>
        </w:rPr>
        <w:t>无全国省级挂网价的产品平台将不接受挂网申请。</w:t>
      </w:r>
    </w:p>
    <w:p w14:paraId="743C0144">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二、申报时间</w:t>
      </w:r>
    </w:p>
    <w:p w14:paraId="5153545E">
      <w:pPr>
        <w:keepNext w:val="0"/>
        <w:keepLines w:val="0"/>
        <w:widowControl/>
        <w:suppressLineNumbers w:val="0"/>
        <w:autoSpaceDE w:val="0"/>
        <w:autoSpaceDN/>
        <w:snapToGrid w:val="0"/>
        <w:spacing w:before="0" w:beforeAutospacing="0" w:after="0" w:afterAutospacing="0" w:line="560" w:lineRule="atLeast"/>
        <w:ind w:left="0" w:right="0" w:rightChars="0" w:firstLine="640" w:firstLineChars="200"/>
        <w:jc w:val="left"/>
        <w:rPr>
          <w:rFonts w:hint="eastAsia" w:ascii="仿宋_GB2312" w:eastAsia="仿宋_GB2312" w:cs="仿宋_GB2312"/>
          <w:color w:val="000000"/>
          <w:kern w:val="2"/>
          <w:sz w:val="32"/>
          <w:szCs w:val="32"/>
        </w:rPr>
      </w:pPr>
      <w:r>
        <w:rPr>
          <w:rFonts w:hint="default" w:ascii="楷体" w:hAnsi="楷体" w:eastAsia="楷体" w:cs="楷体"/>
          <w:kern w:val="2"/>
          <w:sz w:val="32"/>
          <w:szCs w:val="32"/>
          <w:lang w:val="en-US" w:eastAsia="zh-CN" w:bidi="ar"/>
        </w:rPr>
        <w:t>（三）基础数据维护</w:t>
      </w:r>
      <w:r>
        <w:rPr>
          <w:rFonts w:hint="eastAsia" w:ascii="仿宋_GB2312" w:hAnsi="Times New Roman" w:eastAsia="仿宋_GB2312" w:cs="仿宋_GB2312"/>
          <w:color w:val="000000"/>
          <w:kern w:val="2"/>
          <w:sz w:val="32"/>
          <w:szCs w:val="32"/>
          <w:lang w:val="en-US" w:eastAsia="zh-CN" w:bidi="ar"/>
        </w:rPr>
        <w:t>。平台医用耗材基础库全年开放，企业可随时对企业信息、产品信息进行维护，按照相关政策要求提供资料，并对提供资料的真实性、完整性、合规性作出承诺。自治区将结合工作实际探索推进智能审核，加强事后监管力度，对未按承诺事项维护信息的，将予以暂停挂网1年处理。</w:t>
      </w:r>
    </w:p>
    <w:p w14:paraId="367E9D9A">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color w:val="000000"/>
          <w:kern w:val="2"/>
          <w:sz w:val="32"/>
          <w:szCs w:val="32"/>
          <w:highlight w:val="yellow"/>
        </w:rPr>
      </w:pPr>
      <w:r>
        <w:rPr>
          <w:rFonts w:hint="default" w:ascii="楷体" w:hAnsi="楷体" w:eastAsia="楷体" w:cs="楷体"/>
          <w:kern w:val="2"/>
          <w:sz w:val="32"/>
          <w:szCs w:val="32"/>
          <w:lang w:val="en-US" w:eastAsia="zh-CN" w:bidi="ar"/>
        </w:rPr>
        <w:t>（四）价格申报</w:t>
      </w:r>
      <w:r>
        <w:rPr>
          <w:rFonts w:hint="eastAsia" w:ascii="仿宋_GB2312" w:hAnsi="Times New Roman" w:eastAsia="仿宋_GB2312" w:cs="仿宋_GB2312"/>
          <w:color w:val="000000"/>
          <w:kern w:val="2"/>
          <w:sz w:val="32"/>
          <w:szCs w:val="32"/>
          <w:lang w:val="en-US" w:eastAsia="zh-CN" w:bidi="ar"/>
        </w:rPr>
        <w:t>。医用耗材挂网价格申报于每月前5个工作日完成申报，申报价格应符合挂网价格政策要求，所申报医用耗材原则上应至少具备全国3个省份挂网价格。价格风险处置、医药价格和招采信用评价、医院备案采购等其他情形医用耗材，挂网价格不高于企业承诺价格并符合相应规定。</w:t>
      </w:r>
    </w:p>
    <w:p w14:paraId="2D6FA0D2">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三、公示及申投诉</w:t>
      </w:r>
    </w:p>
    <w:p w14:paraId="4C228536">
      <w:pPr>
        <w:keepNext w:val="0"/>
        <w:keepLines w:val="0"/>
        <w:widowControl w:val="0"/>
        <w:suppressLineNumbers w:val="0"/>
        <w:snapToGrid w:val="0"/>
        <w:spacing w:before="0" w:beforeAutospacing="0" w:after="0" w:afterAutospacing="0" w:line="560" w:lineRule="atLeast"/>
        <w:ind w:left="0" w:right="0" w:firstLine="64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（五）公示</w:t>
      </w:r>
      <w:r>
        <w:rPr>
          <w:rFonts w:hint="eastAsia" w:ascii="仿宋_GB2312" w:hAnsi="Times New Roman" w:eastAsia="仿宋_GB2312" w:cs="仿宋_GB2312"/>
          <w:kern w:val="2"/>
          <w:sz w:val="32"/>
          <w:szCs w:val="32"/>
          <w:lang w:val="en-US" w:eastAsia="zh-CN" w:bidi="ar"/>
        </w:rPr>
        <w:t>。依据企业申报的产品所提供相关价格信息，确定挂网价后，面向社会公示，接受社会各界监督，并在公示期内接受申投诉，公示期3个工作日。</w:t>
      </w:r>
    </w:p>
    <w:p w14:paraId="32F5E399">
      <w:pPr>
        <w:pStyle w:val="2"/>
        <w:widowControl/>
        <w:snapToGrid w:val="0"/>
        <w:spacing w:line="560" w:lineRule="atLeast"/>
        <w:ind w:left="0" w:firstLine="640" w:firstLineChars="200"/>
        <w:rPr>
          <w:rFonts w:hint="eastAsia" w:ascii="仿宋_GB2312" w:eastAsia="仿宋_GB2312" w:cs="仿宋_GB2312"/>
          <w:kern w:val="2"/>
          <w:sz w:val="32"/>
          <w:szCs w:val="32"/>
          <w:highlight w:val="yellow"/>
        </w:rPr>
      </w:pPr>
      <w:r>
        <w:rPr>
          <w:rFonts w:hint="default" w:ascii="楷体" w:hAnsi="楷体" w:eastAsia="楷体" w:cs="楷体"/>
          <w:kern w:val="2"/>
          <w:sz w:val="32"/>
          <w:szCs w:val="32"/>
        </w:rPr>
        <w:t>（六）申投诉</w:t>
      </w:r>
      <w:r>
        <w:rPr>
          <w:rFonts w:hint="eastAsia" w:ascii="仿宋_GB2312" w:eastAsia="仿宋_GB2312" w:cs="仿宋_GB2312"/>
          <w:kern w:val="2"/>
          <w:sz w:val="32"/>
          <w:szCs w:val="32"/>
        </w:rPr>
        <w:t>。申投诉实行实名制，按照“谁主张、谁举证”的原则，申投诉方须提供全面、真实、合法的证据材料。对弄虚作假、歪曲事实的，一经查实，申投诉方应承担相应责任。在规定期限内</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rPr>
        <w:t>被投诉企业可对申投诉做出澄清和说明。自治区医保局对企业是否存在虚报、瞒报价格等行为和情况进行查证核实。根据查证结果，对存在虚报、瞒报价格等行为的，不予以挂网。</w:t>
      </w:r>
    </w:p>
    <w:p w14:paraId="71A36753">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四、动态管理</w:t>
      </w:r>
    </w:p>
    <w:p w14:paraId="46AC057B">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default" w:ascii="楷体" w:hAnsi="楷体" w:eastAsia="楷体" w:cs="楷体"/>
          <w:kern w:val="2"/>
          <w:sz w:val="32"/>
          <w:szCs w:val="32"/>
          <w:lang w:val="en-US" w:eastAsia="zh-CN" w:bidi="ar"/>
        </w:rPr>
        <w:t>（七）价格动态管理</w:t>
      </w:r>
      <w:r>
        <w:rPr>
          <w:rFonts w:hint="eastAsia" w:ascii="仿宋_GB2312" w:hAnsi="Times New Roman" w:eastAsia="仿宋_GB2312" w:cs="仿宋_GB2312"/>
          <w:kern w:val="2"/>
          <w:sz w:val="32"/>
          <w:szCs w:val="32"/>
          <w:lang w:val="en-US" w:eastAsia="zh-CN" w:bidi="ar"/>
        </w:rPr>
        <w:t>。平台挂网医用耗材相关生产企业应按照国家、自治区挂网价格监测及治理等工作要求，对挂网价格进行联动。生产经营企业应在全国现行省级挂网价中新的最低价执行之日起30日内向平台申报价格信息。价格信息及时公示，平台畅通企业挂网承诺事项的投诉举报通道，及时受理企业申投诉，对未及时申报、申报不实、未及时联动全国最低挂网价的，及其他弄虚作假情况，在保障供应的前提下暂停挂网1年。暂停期满后，经企业申请且符合全国省级平台最低挂网价等要求的，可予以恢复挂网。</w:t>
      </w:r>
    </w:p>
    <w:p w14:paraId="21DCFE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560" w:lineRule="atLeast"/>
        <w:ind w:left="0" w:right="0" w:firstLine="645"/>
        <w:jc w:val="both"/>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集中带量采购非中选医用耗材，应按照国家、省际联盟等集采非中选产品价格管理要求进行价格联动，不符合价格联动要求的，视情况予以风险提示、撤销挂网等处理。</w:t>
      </w:r>
    </w:p>
    <w:p w14:paraId="0D3F2F7F">
      <w:pPr>
        <w:pStyle w:val="2"/>
        <w:widowControl/>
        <w:snapToGrid w:val="0"/>
        <w:spacing w:line="560" w:lineRule="atLeast"/>
        <w:ind w:left="0" w:firstLine="640" w:firstLineChars="200"/>
        <w:rPr>
          <w:rFonts w:hint="default" w:ascii="楷体" w:hAnsi="楷体" w:eastAsia="楷体" w:cs="楷体"/>
          <w:kern w:val="2"/>
          <w:sz w:val="32"/>
          <w:szCs w:val="32"/>
        </w:rPr>
      </w:pPr>
      <w:r>
        <w:rPr>
          <w:rFonts w:hint="eastAsia" w:ascii="仿宋_GB2312" w:eastAsia="仿宋_GB2312" w:cs="仿宋_GB2312"/>
          <w:kern w:val="2"/>
          <w:sz w:val="32"/>
          <w:szCs w:val="32"/>
        </w:rPr>
        <w:t>生产企业因成本上涨、原料短缺、法律纠纷等原因暂时无法继续生产或销售，不能正常供应的，提交暂停挂网申请，经审核同意的，按程序公示、公布后暂停挂网，原则上不超过2年。暂停挂网期间，应保存相关产品信息。企业可对暂停挂网产品申请恢复挂网，原则上挂网价格不得高于暂停挂网前的价格；如价格上涨的，自暂停之日起满2年可予受理。</w:t>
      </w:r>
    </w:p>
    <w:p w14:paraId="092E834E">
      <w:pPr>
        <w:pStyle w:val="2"/>
        <w:widowControl/>
        <w:snapToGrid w:val="0"/>
        <w:spacing w:line="560" w:lineRule="atLeast"/>
        <w:ind w:left="0" w:firstLine="640" w:firstLineChars="200"/>
        <w:rPr>
          <w:rFonts w:hint="eastAsia" w:ascii="仿宋_GB2312" w:eastAsia="仿宋_GB2312" w:cs="仿宋_GB2312"/>
          <w:kern w:val="2"/>
          <w:sz w:val="32"/>
          <w:szCs w:val="32"/>
        </w:rPr>
      </w:pPr>
      <w:r>
        <w:rPr>
          <w:rFonts w:hint="default" w:ascii="楷体" w:hAnsi="楷体" w:eastAsia="楷体" w:cs="楷体"/>
          <w:kern w:val="2"/>
          <w:sz w:val="32"/>
          <w:szCs w:val="32"/>
        </w:rPr>
        <w:t>（八）品种动态管理</w:t>
      </w:r>
      <w:r>
        <w:rPr>
          <w:rFonts w:hint="eastAsia" w:ascii="仿宋_GB2312" w:eastAsia="仿宋_GB2312" w:cs="仿宋_GB2312"/>
          <w:kern w:val="2"/>
          <w:sz w:val="32"/>
          <w:szCs w:val="32"/>
        </w:rPr>
        <w:t>。适时对在平台挂网的医用耗材进行动态调整。对2年无采购记录的产品，纳入不活跃区。</w:t>
      </w:r>
    </w:p>
    <w:p w14:paraId="0EB99FF0">
      <w:pPr>
        <w:pStyle w:val="2"/>
        <w:widowControl/>
        <w:snapToGrid w:val="0"/>
        <w:spacing w:line="560" w:lineRule="atLeast"/>
        <w:ind w:left="0" w:firstLine="640" w:firstLineChars="200"/>
        <w:rPr>
          <w:rFonts w:hint="eastAsia" w:ascii="仿宋_GB2312" w:eastAsia="仿宋_GB2312" w:cs="仿宋_GB2312"/>
          <w:kern w:val="2"/>
          <w:sz w:val="32"/>
          <w:szCs w:val="32"/>
        </w:rPr>
      </w:pPr>
      <w:r>
        <w:rPr>
          <w:rFonts w:hint="eastAsia" w:ascii="仿宋_GB2312" w:eastAsia="仿宋_GB2312" w:cs="仿宋_GB2312"/>
          <w:kern w:val="2"/>
          <w:sz w:val="32"/>
          <w:szCs w:val="32"/>
        </w:rPr>
        <w:t>对使用、配送等过程中出现质量安全问题，由监管部门反馈、或对其产品质量进行通报</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rPr>
        <w:t>要求召回</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rPr>
        <w:t>违规处罚的，自治区医保部门有权暂停挂网半年以上，也可视情节直接取消其挂网资格或配送资格。待整改完成，递交申请和相关证明材料，报自治区医保部门审定后恢复挂网。因质量问题无条件召回等所引发的各种赔偿责任（如医疗纠纷）由生产或配送企业负责协调解决。</w:t>
      </w:r>
    </w:p>
    <w:p w14:paraId="534FDCFB">
      <w:pPr>
        <w:keepNext w:val="0"/>
        <w:keepLines w:val="0"/>
        <w:widowControl w:val="0"/>
        <w:suppressLineNumbers w:val="0"/>
        <w:snapToGrid w:val="0"/>
        <w:spacing w:before="0" w:beforeAutospacing="0" w:after="0" w:afterAutospacing="0" w:line="560" w:lineRule="atLeast"/>
        <w:ind w:left="0" w:right="0"/>
        <w:jc w:val="center"/>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 xml:space="preserve"> </w:t>
      </w:r>
    </w:p>
    <w:p w14:paraId="22927B60">
      <w:pPr>
        <w:keepNext w:val="0"/>
        <w:keepLines w:val="0"/>
        <w:widowControl w:val="0"/>
        <w:suppressLineNumbers w:val="0"/>
        <w:snapToGrid w:val="0"/>
        <w:spacing w:before="0" w:beforeAutospacing="0" w:after="0" w:afterAutospacing="0" w:line="560" w:lineRule="atLeast"/>
        <w:ind w:left="0" w:right="0"/>
        <w:jc w:val="center"/>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第三部分  采购管理</w:t>
      </w:r>
    </w:p>
    <w:p w14:paraId="4BB9754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一、采购方式</w:t>
      </w:r>
    </w:p>
    <w:p w14:paraId="7EF65311">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医疗机构按规定在平台采购相关产品。采购方式主要有集中带量采购、议价采购和备案采购等。</w:t>
      </w:r>
    </w:p>
    <w:p w14:paraId="4A19881A">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（一）集中带量采购。国家、省际联盟、自治区组织的集中带量采购品种按照中选价格及相关政策规定进行采购。</w:t>
      </w:r>
    </w:p>
    <w:p w14:paraId="1BD9217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（二）议价采购。医疗机构结合采购数量、回款周期等要素，与医用耗材生产企业议定合理价格进行采购。</w:t>
      </w:r>
    </w:p>
    <w:p w14:paraId="0470B96A">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（三）备案采购。医疗机构根据临床需要申请备案采购医用耗材。</w:t>
      </w:r>
    </w:p>
    <w:p w14:paraId="746FE37B">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（四）国家、自治区医疗保障部门确定的其他采购方式。</w:t>
      </w:r>
    </w:p>
    <w:p w14:paraId="7AFF153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二、采购目录</w:t>
      </w:r>
    </w:p>
    <w:p w14:paraId="48EE5151">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（五）挂网目录。按照国家统一的医用耗材十七种分类，分批次建立自治区医疗机构医用耗材挂网目录，医疗机构按照已挂网执行目录进行采购。</w:t>
      </w:r>
    </w:p>
    <w:p w14:paraId="339E358F">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eastAsia" w:ascii="仿宋_GB2312" w:hAnsi="Times New Roman" w:eastAsia="仿宋_GB2312" w:cs="仿宋_GB2312"/>
          <w:kern w:val="2"/>
          <w:sz w:val="32"/>
          <w:szCs w:val="32"/>
          <w:lang w:val="en-US" w:eastAsia="zh-CN" w:bidi="ar"/>
        </w:rPr>
        <w:t>（六）备案目录。主要范围包括新技术产品和临床必需的医用耗材产品。</w:t>
      </w:r>
    </w:p>
    <w:p w14:paraId="2175BB3C">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三、采购流程</w:t>
      </w:r>
    </w:p>
    <w:p w14:paraId="0A43937E">
      <w:pPr>
        <w:pStyle w:val="2"/>
        <w:widowControl/>
        <w:snapToGrid w:val="0"/>
        <w:spacing w:line="560" w:lineRule="atLeast"/>
        <w:ind w:left="0"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七）平台挂网产品均应议价（国家、省际联盟、自治区组织集中带量采购周期内中选产品除外）。医疗机构应与生产经营企业通过平台按照线上议价工作规程在挂网价下开展实质性议价，议定价格不得高于挂网价格。</w:t>
      </w:r>
    </w:p>
    <w:p w14:paraId="657832EC">
      <w:pPr>
        <w:pStyle w:val="2"/>
        <w:widowControl/>
        <w:snapToGrid w:val="0"/>
        <w:spacing w:line="560" w:lineRule="atLeast"/>
        <w:ind w:left="0" w:firstLine="640" w:firstLineChars="200"/>
        <w:rPr>
          <w:rFonts w:hint="eastAsia" w:ascii="仿宋_GB2312" w:eastAsia="仿宋_GB2312" w:cs="仿宋_GB2312"/>
          <w:kern w:val="2"/>
          <w:sz w:val="32"/>
          <w:szCs w:val="32"/>
        </w:rPr>
      </w:pPr>
      <w:r>
        <w:rPr>
          <w:rFonts w:hint="eastAsia" w:ascii="仿宋_GB2312" w:eastAsia="仿宋_GB2312" w:cs="仿宋_GB2312"/>
          <w:kern w:val="2"/>
          <w:sz w:val="32"/>
          <w:szCs w:val="32"/>
        </w:rPr>
        <w:t>医疗机构在平台填报价格、采购量、包装转换比等发起议价，生产经营企业确认</w:t>
      </w:r>
      <w:r>
        <w:rPr>
          <w:rFonts w:hint="eastAsia" w:ascii="Times New Roman" w:hAnsi="Times New Roman" w:eastAsia="宋体" w:cs="Times New Roman"/>
          <w:kern w:val="2"/>
          <w:sz w:val="21"/>
          <w:szCs w:val="21"/>
        </w:rPr>
        <w:t>，</w:t>
      </w:r>
      <w:r>
        <w:rPr>
          <w:rFonts w:hint="eastAsia" w:ascii="仿宋_GB2312" w:eastAsia="仿宋_GB2312" w:cs="仿宋_GB2312"/>
          <w:color w:val="000000"/>
          <w:kern w:val="2"/>
          <w:sz w:val="32"/>
          <w:szCs w:val="32"/>
        </w:rPr>
        <w:t>具体线上议价工作规程如下：</w:t>
      </w:r>
    </w:p>
    <w:p w14:paraId="2715B2C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1.医疗机构发起议价。医疗机构基于医用耗材平台挂网价格提交计划采购量、建议采购价申请至生产企业，建议采购价不得高于该医用耗材平台内挂网价格。</w:t>
      </w:r>
      <w:r>
        <w:rPr>
          <w:rFonts w:hint="eastAsia" w:ascii="仿宋_GB2312" w:hAnsi="Times New Roman" w:eastAsia="仿宋_GB2312" w:cs="仿宋_GB2312"/>
          <w:kern w:val="2"/>
          <w:sz w:val="32"/>
          <w:szCs w:val="32"/>
          <w:lang w:val="en-US" w:eastAsia="zh-CN" w:bidi="ar"/>
        </w:rPr>
        <w:t>通过“一对多”的议价模式，以产品名称或分类名称对同品种产品不同企业分别发起议价。</w:t>
      </w:r>
    </w:p>
    <w:p w14:paraId="3C71DDB7">
      <w:pPr>
        <w:keepNext w:val="0"/>
        <w:keepLines w:val="0"/>
        <w:widowControl w:val="0"/>
        <w:suppressLineNumbers w:val="0"/>
        <w:snapToGrid w:val="0"/>
        <w:spacing w:before="0" w:beforeAutospacing="0" w:after="0" w:afterAutospacing="0" w:line="560" w:lineRule="atLeas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2.企业响应议价。生产企业应在医疗机构发起议价之日起内在线响应议价，可同意医疗机构议价申请或在线还价操作；同意医疗机构申请议价则议价成功，医疗机构按当前议价结果执行采购。企业超过3天</w:t>
      </w:r>
      <w:r>
        <w:rPr>
          <w:rFonts w:hint="eastAsia" w:ascii="仿宋_GB2312" w:hAnsi="Times New Roman" w:eastAsia="仿宋_GB2312" w:cs="仿宋_GB2312"/>
          <w:kern w:val="2"/>
          <w:sz w:val="32"/>
          <w:szCs w:val="32"/>
          <w:lang w:val="en-US" w:eastAsia="zh-CN" w:bidi="ar"/>
        </w:rPr>
        <w:t>没有响应的，医疗机构提供本单位交易记录后（上传医疗机构与企业以议定价格的实际采购发票），平台将自动默认该议价价格。</w:t>
      </w:r>
      <w:r>
        <w:rPr>
          <w:rFonts w:hint="eastAsia" w:ascii="仿宋_GB2312" w:hAnsi="Times New Roman" w:eastAsia="仿宋_GB2312" w:cs="仿宋_GB2312"/>
          <w:color w:val="000000"/>
          <w:kern w:val="2"/>
          <w:sz w:val="32"/>
          <w:szCs w:val="32"/>
          <w:lang w:val="en-US" w:eastAsia="zh-CN" w:bidi="ar"/>
        </w:rPr>
        <w:t>企业超过5天不响应的，视为自动放弃议价，系统将自动取消该议价流程，医疗机构可重新发起其它议价。</w:t>
      </w:r>
    </w:p>
    <w:p w14:paraId="52C75F1D">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3.医院响应议价。医疗机构响应生产企业还价，可同意或继续发起议价操作。</w:t>
      </w:r>
    </w:p>
    <w:p w14:paraId="17E0156A">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strike/>
          <w:dstrike w:val="0"/>
          <w:color w:val="FF0000"/>
          <w:kern w:val="2"/>
          <w:sz w:val="32"/>
          <w:szCs w:val="32"/>
        </w:rPr>
      </w:pPr>
      <w:r>
        <w:rPr>
          <w:rFonts w:hint="eastAsia" w:ascii="仿宋_GB2312" w:hAnsi="Times New Roman" w:eastAsia="仿宋_GB2312" w:cs="仿宋_GB2312"/>
          <w:color w:val="000000"/>
          <w:kern w:val="2"/>
          <w:sz w:val="32"/>
          <w:szCs w:val="32"/>
          <w:lang w:val="en-US" w:eastAsia="zh-CN" w:bidi="ar"/>
        </w:rPr>
        <w:t>4.医疗机构执行采购。基于双方协定的产品议价结果，医疗机构开展平台采购。</w:t>
      </w:r>
    </w:p>
    <w:p w14:paraId="18B53D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560" w:lineRule="atLeast"/>
        <w:ind w:left="0" w:right="0" w:firstLine="645"/>
        <w:jc w:val="both"/>
        <w:rPr>
          <w:rFonts w:hint="eastAsia" w:ascii="仿宋_GB2312" w:eastAsia="仿宋_GB2312" w:cs="仿宋_GB2312"/>
          <w:color w:val="000000"/>
          <w:kern w:val="2"/>
          <w:sz w:val="32"/>
          <w:szCs w:val="32"/>
          <w:shd w:val="clear" w:fill="FFFFFF"/>
        </w:rPr>
      </w:pPr>
      <w:r>
        <w:rPr>
          <w:rFonts w:hint="eastAsia" w:ascii="仿宋_GB2312" w:hAnsi="Times New Roman" w:eastAsia="仿宋_GB2312" w:cs="仿宋_GB2312"/>
          <w:color w:val="000000"/>
          <w:kern w:val="2"/>
          <w:sz w:val="32"/>
          <w:szCs w:val="32"/>
          <w:shd w:val="clear" w:fill="FFFFFF"/>
          <w:lang w:val="en-US" w:eastAsia="zh-CN" w:bidi="ar"/>
        </w:rPr>
        <w:t>医疗机构议定后医用耗材价格低于挂网价格的，其实际采购价在平台进行登记，单独建表建库管理，议定价格仅供医保部门掌握价格动态使用，不在平台对外展示，不直接替代挂网价格。</w:t>
      </w:r>
    </w:p>
    <w:p w14:paraId="6E7E5980">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四、价格监管提醒</w:t>
      </w:r>
    </w:p>
    <w:p w14:paraId="389E1AF5">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kern w:val="2"/>
          <w:sz w:val="32"/>
          <w:szCs w:val="32"/>
          <w:lang w:val="en-US" w:eastAsia="zh-CN" w:bidi="ar"/>
        </w:rPr>
        <w:t>（八）平台对</w:t>
      </w:r>
      <w:r>
        <w:rPr>
          <w:rFonts w:hint="eastAsia" w:ascii="仿宋_GB2312" w:hAnsi="Times New Roman" w:eastAsia="仿宋_GB2312" w:cs="仿宋_GB2312"/>
          <w:color w:val="000000"/>
          <w:kern w:val="2"/>
          <w:sz w:val="32"/>
          <w:szCs w:val="32"/>
          <w:lang w:val="en-US" w:eastAsia="zh-CN" w:bidi="ar"/>
        </w:rPr>
        <w:t>相同医保编码医用耗材在不同医疗机构之间存在不同采购价格情形的，以医疗机构实际有采购的最低采购价为基线价，将其他医疗机构采购价格与该价格进行比对，实行三色管理。</w:t>
      </w:r>
    </w:p>
    <w:p w14:paraId="56D5CA35">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1.价差在50%（含）以内的标示绿色，为合理区间采购价格。</w:t>
      </w:r>
    </w:p>
    <w:p w14:paraId="396AD5B3">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2.价差在50%（不含）-100%（不含）之间的标示黄色，为异常区间采购价格。</w:t>
      </w:r>
    </w:p>
    <w:p w14:paraId="58D95DAB">
      <w:pPr>
        <w:keepNext w:val="0"/>
        <w:keepLines w:val="0"/>
        <w:widowControl w:val="0"/>
        <w:suppressLineNumbers w:val="0"/>
        <w:autoSpaceDE w:val="0"/>
        <w:autoSpaceDN/>
        <w:snapToGrid w:val="0"/>
        <w:spacing w:before="0" w:beforeAutospacing="0" w:after="0" w:afterAutospacing="0" w:line="560" w:lineRule="atLeas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3.价差在100%（含）以上的标示红色，为明显异常区间采购价格。</w:t>
      </w:r>
    </w:p>
    <w:p w14:paraId="189D4993">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如生产企业存在虚报、瞒报全国最低挂网价格的，一经查实将按有关规定作暂停挂网等处理。医疗机构如存在采购红、黄区间价差较高产品的，由市级医保部门按照自治区价格监测等相关制度规定，要求医疗机构整改，并定期监督。</w:t>
      </w:r>
    </w:p>
    <w:p w14:paraId="26692C47">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各级医保部门应有效落实属地化管理职责，做好辖区医疗机构线上采购医用耗材的监督管理，落实医用耗材采购医保服务协议管理，并配合卫生健康部门，规范医疗机构医用耗材管理，促进临床合理使用。</w:t>
      </w:r>
    </w:p>
    <w:p w14:paraId="1033A420">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五、备案采购</w:t>
      </w:r>
    </w:p>
    <w:p w14:paraId="68FF7E83">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九）备案采购是指为满足临床实际需要、促进医用耗材新技术、新产品尽快应用于临床，由医疗机构申请采购使用的一种采购方式；遵循“先备案后采购、谁备案谁采购、凡备案必采购”的原则。备案采购信息每月公示公布一次。</w:t>
      </w:r>
    </w:p>
    <w:p w14:paraId="1306EB3E">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（十）医用耗材备案采购由区内二级及以上公立医疗机构通过平台申报备案信息。备案产品信息由企业通过平台进行维护。医疗机构应提供院内备案审批资料、备案申请表、承诺书等相关资料。</w:t>
      </w:r>
    </w:p>
    <w:p w14:paraId="5BC09000">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（十一）通过确认的备案产品在平台挂网，供备案发起医疗机构采购。满足挂网条件的备案产品，直接纳入挂网采购。</w:t>
      </w:r>
    </w:p>
    <w:p w14:paraId="0C64FACE">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highlight w:val="red"/>
        </w:rPr>
      </w:pPr>
      <w:r>
        <w:rPr>
          <w:rFonts w:hint="eastAsia" w:ascii="仿宋_GB2312" w:hAnsi="Times New Roman" w:eastAsia="仿宋_GB2312" w:cs="仿宋_GB2312"/>
          <w:kern w:val="2"/>
          <w:sz w:val="32"/>
          <w:szCs w:val="32"/>
          <w:lang w:val="en-US" w:eastAsia="zh-CN" w:bidi="ar"/>
        </w:rPr>
        <w:t>（十二）因疫情防控、急抢救等紧急情况采购平台无相关信息的医用耗材产品，经医疗机构法定代表人同意后，可先行采购应急使用，并于20个工作日内补办备案采购手续。</w:t>
      </w:r>
    </w:p>
    <w:p w14:paraId="2176B51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 xml:space="preserve"> </w:t>
      </w:r>
    </w:p>
    <w:p w14:paraId="24F5146C">
      <w:pPr>
        <w:keepNext w:val="0"/>
        <w:keepLines w:val="0"/>
        <w:widowControl w:val="0"/>
        <w:suppressLineNumbers w:val="0"/>
        <w:snapToGrid w:val="0"/>
        <w:spacing w:before="0" w:beforeAutospacing="0" w:after="0" w:afterAutospacing="0" w:line="560" w:lineRule="atLeast"/>
        <w:ind w:left="0" w:right="0"/>
        <w:jc w:val="center"/>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第四部分  配送及结算管理</w:t>
      </w:r>
    </w:p>
    <w:p w14:paraId="22DDE24D">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一、配送管理</w:t>
      </w:r>
    </w:p>
    <w:p w14:paraId="4948F81C">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（一）生产企业是产品质量和供应保障第一责任人，对医疗机构和企业在平台中确认的采购计划，企业必须无条件保障供应。</w:t>
      </w:r>
    </w:p>
    <w:p w14:paraId="1BF97F8B">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医用耗材由挂网生产企业直接配送或委托有配送能力的配送企业配送。配送费用包含在采购价格中。医用耗材的生产经营企业应具备监督管理部门认定的资质条件，其中需冷链运输的，生产经营企业需具备冷链运输、储存条件。生产经营企业应按照购销合同规定，按时、按质、按量向医疗机构供应。</w:t>
      </w:r>
    </w:p>
    <w:p w14:paraId="591FB185">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（三）配送企业通过平台申报相关资料，完善企业基本数据库，经审核通过后可纳入平台企业信息数据库，供生产企业自主选择。</w:t>
      </w:r>
    </w:p>
    <w:p w14:paraId="45BB7DB5">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（四）生产企业自主选择配送企业，并以县（区）级明确配送区域。配送关系的确认以企业授权书为准，并按时在平台确认配送关系。</w:t>
      </w:r>
    </w:p>
    <w:p w14:paraId="506B2433">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（五）配送周期内发生供应保障问题的配送企业，由生产企业提出更换配送企业申请，经双方同意解除配送关系后，生产企业通过平台提交加盖双方公章的书面变更申请，重新选择配送企业。</w:t>
      </w:r>
    </w:p>
    <w:p w14:paraId="2ED88A20">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二、结算管理</w:t>
      </w:r>
    </w:p>
    <w:p w14:paraId="258B26BF">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（六）医疗机构应承担采购结算主体责任，按采购合同与企业及时结清货款，结清时间不得超过交货验收合格后次月底。</w:t>
      </w:r>
    </w:p>
    <w:p w14:paraId="638DC375">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（七）在落实医疗机构采购结算主体责任的前提下，根据国家和自治区相关政策规定，持续推进医保基金与医用耗材企业直接结算。</w:t>
      </w:r>
    </w:p>
    <w:p w14:paraId="064B2FE0">
      <w:pPr>
        <w:keepNext w:val="0"/>
        <w:keepLines w:val="0"/>
        <w:widowControl w:val="0"/>
        <w:suppressLineNumbers w:val="0"/>
        <w:snapToGrid w:val="0"/>
        <w:spacing w:before="0" w:beforeAutospacing="0" w:after="0" w:afterAutospacing="0" w:line="560" w:lineRule="atLeast"/>
        <w:ind w:left="0" w:right="0"/>
        <w:jc w:val="center"/>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 xml:space="preserve"> </w:t>
      </w:r>
    </w:p>
    <w:p w14:paraId="53B10BCD">
      <w:pPr>
        <w:keepNext w:val="0"/>
        <w:keepLines w:val="0"/>
        <w:widowControl w:val="0"/>
        <w:suppressLineNumbers w:val="0"/>
        <w:snapToGrid w:val="0"/>
        <w:spacing w:before="0" w:beforeAutospacing="0" w:after="0" w:afterAutospacing="0" w:line="560" w:lineRule="atLeast"/>
        <w:ind w:left="0" w:right="0"/>
        <w:jc w:val="center"/>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第五部分  监督管理</w:t>
      </w:r>
    </w:p>
    <w:p w14:paraId="5AE9A35F">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一、供应管理</w:t>
      </w:r>
    </w:p>
    <w:p w14:paraId="2300F673">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一）对挂网生产及配送企业提供虚假证明文件；隐瞒挂网价或虚报谎报挂网价；蓄意抬高价格或恶意压低价格；挂网后撤废或供应质量不达标的医用耗材；未按合同规定及时配送供货，或以其他非挂网品种取代挂网品种进行配送；向采购机构、医疗机构和个人进行贿赂或变相贿赂的；无正当理由不配送或不按合同要求配送，影响医疗机构临床诊治的，一律记录在案并根据医药价格和招采信用等相关规定进行处理。</w:t>
      </w:r>
    </w:p>
    <w:p w14:paraId="2B773248">
      <w:pPr>
        <w:keepNext w:val="0"/>
        <w:keepLines w:val="0"/>
        <w:widowControl w:val="0"/>
        <w:suppressLineNumbers w:val="0"/>
        <w:snapToGrid w:val="0"/>
        <w:spacing w:before="0" w:beforeAutospacing="0" w:after="0" w:afterAutospacing="0" w:line="560" w:lineRule="atLeas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（二）产品注册证、生产或经营许可证、营业执照等资质证件被相关主管部门吊销</w:t>
      </w:r>
      <w:r>
        <w:rPr>
          <w:rFonts w:hint="eastAsia" w:ascii="仿宋_GB2312" w:eastAsia="仿宋_GB2312" w:cs="仿宋_GB2312"/>
          <w:kern w:val="2"/>
          <w:sz w:val="32"/>
          <w:szCs w:val="32"/>
          <w:lang w:val="en-US" w:eastAsia="zh-CN" w:bidi="ar"/>
        </w:rPr>
        <w:t>（撤销）</w:t>
      </w:r>
      <w:r>
        <w:rPr>
          <w:rFonts w:hint="eastAsia" w:ascii="仿宋_GB2312" w:hAnsi="Times New Roman" w:eastAsia="仿宋_GB2312" w:cs="仿宋_GB2312"/>
          <w:kern w:val="2"/>
          <w:sz w:val="32"/>
          <w:szCs w:val="32"/>
          <w:lang w:val="en-US" w:eastAsia="zh-CN" w:bidi="ar"/>
        </w:rPr>
        <w:t>。产品注册证自吊销（撤销）之日起，取消该证书范围内产品的挂网资格，不再接受该注册证内产品挂网申请；生产或经营许可证、营业执照自吊销</w:t>
      </w:r>
      <w:r>
        <w:rPr>
          <w:rFonts w:hint="eastAsia" w:ascii="仿宋_GB2312" w:eastAsia="仿宋_GB2312" w:cs="仿宋_GB2312"/>
          <w:kern w:val="2"/>
          <w:sz w:val="32"/>
          <w:szCs w:val="32"/>
          <w:lang w:val="en-US" w:eastAsia="zh-CN" w:bidi="ar"/>
        </w:rPr>
        <w:t>（撤销）</w:t>
      </w:r>
      <w:r>
        <w:rPr>
          <w:rFonts w:hint="eastAsia" w:ascii="仿宋_GB2312" w:hAnsi="Times New Roman" w:eastAsia="仿宋_GB2312" w:cs="仿宋_GB2312"/>
          <w:kern w:val="2"/>
          <w:sz w:val="32"/>
          <w:szCs w:val="32"/>
          <w:lang w:val="en-US" w:eastAsia="zh-CN" w:bidi="ar"/>
        </w:rPr>
        <w:t>之日起，取消该企业所有产品的挂网资格，不再接受该企业任何产品的挂网申请。全区医疗机构在产品取消挂网资格周期内不得以任何形式采购以上违规产品。</w:t>
      </w:r>
    </w:p>
    <w:p w14:paraId="086ADEF9">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二、采购管理</w:t>
      </w:r>
    </w:p>
    <w:p w14:paraId="355CF73E">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eastAsia" w:ascii="仿宋_GB2312" w:hAnsi="Times New Roman" w:eastAsia="仿宋_GB2312" w:cs="仿宋_GB2312"/>
          <w:kern w:val="2"/>
          <w:sz w:val="32"/>
          <w:szCs w:val="32"/>
          <w:lang w:val="en-US" w:eastAsia="zh-CN" w:bidi="ar"/>
        </w:rPr>
        <w:t>（三）全区所有公立医疗机构、军队医疗机构必须参加医用耗材挂网采购，并通过平台实行全品种全用量网上采购，坚决制止网下采购行为。鼓励其他医疗机构积极参与。各地医保部门要按照国家和自治区关于网采率测算的相关文件和测算要求，加强本地区及所属公立医疗机构的网采率测算工作，并依据医保服务协议约定对高值医用耗材网采率情况进行绩效考核，自治区医保局每季度组织对各地级市网采率情况进行统计调度。自治区各级医疗保障部门要加强与卫生健康部门沟通协同，加强全区公立医疗机构采购医用耗材价格和采购数量等信息监测，对长期不议价或其他采购异常情况，将视情约谈、通报相关医疗机构。</w:t>
      </w:r>
    </w:p>
    <w:p w14:paraId="6EF95202">
      <w:pPr>
        <w:keepNext w:val="0"/>
        <w:keepLines w:val="0"/>
        <w:widowControl w:val="0"/>
        <w:suppressLineNumbers w:val="0"/>
        <w:snapToGrid w:val="0"/>
        <w:spacing w:before="0" w:beforeAutospacing="0" w:after="0" w:afterAutospacing="0" w:line="560" w:lineRule="atLeast"/>
        <w:ind w:left="0" w:right="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三、撤网管理</w:t>
      </w:r>
    </w:p>
    <w:p w14:paraId="19E1B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60" w:lineRule="atLeast"/>
        <w:ind w:left="0" w:right="0" w:firstLine="646"/>
        <w:jc w:val="both"/>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（四）符合下列情形之一的，按程序公示、公布后予以撤销挂网</w:t>
      </w:r>
      <w:r>
        <w:rPr>
          <w:rFonts w:hint="eastAsia" w:ascii="仿宋_GB2312" w:hAnsi="Times New Roman" w:eastAsia="仿宋_GB2312" w:cs="仿宋_GB2312"/>
          <w:kern w:val="2"/>
          <w:sz w:val="32"/>
          <w:szCs w:val="32"/>
          <w:shd w:val="clear" w:fill="FFFFFF"/>
          <w:lang w:val="en-US" w:eastAsia="zh-CN" w:bidi="ar"/>
        </w:rPr>
        <w:t>。</w:t>
      </w:r>
    </w:p>
    <w:p w14:paraId="207D3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60" w:lineRule="atLeast"/>
        <w:ind w:left="0" w:right="0" w:firstLine="646"/>
        <w:jc w:val="both"/>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1.生产企业因企业倒闭、</w:t>
      </w:r>
      <w:r>
        <w:rPr>
          <w:rFonts w:hint="eastAsia" w:ascii="仿宋_GB2312" w:hAnsi="Times New Roman" w:eastAsia="仿宋_GB2312" w:cs="仿宋_GB2312"/>
          <w:kern w:val="0"/>
          <w:sz w:val="32"/>
          <w:szCs w:val="32"/>
          <w:shd w:val="clear" w:fill="FFFFFF"/>
          <w:lang w:val="en-US" w:eastAsia="zh-CN" w:bidi="ar"/>
        </w:rPr>
        <w:t>生产地址变更需重新认证</w:t>
      </w:r>
      <w:r>
        <w:rPr>
          <w:rFonts w:hint="eastAsia" w:ascii="仿宋_GB2312" w:hAnsi="Times New Roman" w:eastAsia="仿宋_GB2312" w:cs="仿宋_GB2312"/>
          <w:kern w:val="2"/>
          <w:sz w:val="32"/>
          <w:szCs w:val="32"/>
          <w:shd w:val="clear" w:fill="FFFFFF"/>
          <w:lang w:val="en-US" w:eastAsia="zh-CN" w:bidi="ar"/>
        </w:rPr>
        <w:t>、</w:t>
      </w:r>
      <w:r>
        <w:rPr>
          <w:rFonts w:hint="eastAsia" w:ascii="仿宋_GB2312" w:hAnsi="Times New Roman" w:eastAsia="仿宋_GB2312" w:cs="仿宋_GB2312"/>
          <w:kern w:val="0"/>
          <w:sz w:val="32"/>
          <w:szCs w:val="32"/>
          <w:shd w:val="clear" w:fill="FFFFFF"/>
          <w:lang w:val="en-US" w:eastAsia="zh-CN" w:bidi="ar"/>
        </w:rPr>
        <w:t>生产线改造、</w:t>
      </w:r>
      <w:r>
        <w:rPr>
          <w:rFonts w:hint="eastAsia" w:ascii="仿宋_GB2312" w:hAnsi="Times New Roman" w:eastAsia="仿宋_GB2312" w:cs="仿宋_GB2312"/>
          <w:kern w:val="2"/>
          <w:sz w:val="32"/>
          <w:szCs w:val="32"/>
          <w:shd w:val="clear" w:fill="FFFFFF"/>
          <w:lang w:val="en-US" w:eastAsia="zh-CN" w:bidi="ar"/>
        </w:rPr>
        <w:t>生产线关停等</w:t>
      </w:r>
      <w:r>
        <w:rPr>
          <w:rFonts w:hint="eastAsia" w:ascii="仿宋_GB2312" w:hAnsi="Times New Roman" w:eastAsia="仿宋_GB2312" w:cs="仿宋_GB2312"/>
          <w:kern w:val="0"/>
          <w:sz w:val="32"/>
          <w:szCs w:val="32"/>
          <w:shd w:val="clear" w:fill="FFFFFF"/>
          <w:lang w:val="en-US" w:eastAsia="zh-CN" w:bidi="ar"/>
        </w:rPr>
        <w:t>不可抗力</w:t>
      </w:r>
      <w:r>
        <w:rPr>
          <w:rFonts w:hint="eastAsia" w:ascii="仿宋_GB2312" w:hAnsi="Times New Roman" w:eastAsia="仿宋_GB2312" w:cs="仿宋_GB2312"/>
          <w:kern w:val="2"/>
          <w:sz w:val="32"/>
          <w:szCs w:val="32"/>
          <w:shd w:val="clear" w:fill="FFFFFF"/>
          <w:lang w:val="en-US" w:eastAsia="zh-CN" w:bidi="ar"/>
        </w:rPr>
        <w:t>原因，</w:t>
      </w:r>
      <w:r>
        <w:rPr>
          <w:rFonts w:hint="eastAsia" w:ascii="仿宋_GB2312" w:hAnsi="Times New Roman" w:eastAsia="仿宋_GB2312" w:cs="仿宋_GB2312"/>
          <w:kern w:val="0"/>
          <w:sz w:val="32"/>
          <w:szCs w:val="32"/>
          <w:shd w:val="clear" w:fill="FFFFFF"/>
          <w:lang w:val="en-US" w:eastAsia="zh-CN" w:bidi="ar"/>
        </w:rPr>
        <w:t>导致挂网医用耗材无法正常生产</w:t>
      </w:r>
      <w:r>
        <w:rPr>
          <w:rFonts w:hint="eastAsia" w:ascii="仿宋_GB2312" w:hAnsi="Times New Roman" w:eastAsia="仿宋_GB2312" w:cs="仿宋_GB2312"/>
          <w:kern w:val="2"/>
          <w:sz w:val="32"/>
          <w:szCs w:val="32"/>
          <w:shd w:val="clear" w:fill="FFFFFF"/>
          <w:lang w:val="en-US" w:eastAsia="zh-CN" w:bidi="ar"/>
        </w:rPr>
        <w:t>销售</w:t>
      </w:r>
      <w:r>
        <w:rPr>
          <w:rFonts w:hint="eastAsia" w:ascii="仿宋_GB2312" w:hAnsi="Times New Roman" w:eastAsia="仿宋_GB2312" w:cs="仿宋_GB2312"/>
          <w:kern w:val="0"/>
          <w:sz w:val="32"/>
          <w:szCs w:val="32"/>
          <w:shd w:val="clear" w:fill="FFFFFF"/>
          <w:lang w:val="en-US" w:eastAsia="zh-CN" w:bidi="ar"/>
        </w:rPr>
        <w:t>的，</w:t>
      </w:r>
      <w:r>
        <w:rPr>
          <w:rFonts w:hint="eastAsia" w:ascii="仿宋_GB2312" w:hAnsi="Times New Roman" w:eastAsia="仿宋_GB2312" w:cs="仿宋_GB2312"/>
          <w:kern w:val="2"/>
          <w:sz w:val="32"/>
          <w:szCs w:val="32"/>
          <w:shd w:val="clear" w:fill="FFFFFF"/>
          <w:lang w:val="en-US" w:eastAsia="zh-CN" w:bidi="ar"/>
        </w:rPr>
        <w:t>出具市场监管或药监部门证明材料，</w:t>
      </w:r>
      <w:r>
        <w:rPr>
          <w:rFonts w:hint="eastAsia" w:ascii="仿宋_GB2312" w:hAnsi="宋体" w:eastAsia="仿宋_GB2312" w:cs="仿宋_GB2312"/>
          <w:kern w:val="0"/>
          <w:sz w:val="31"/>
          <w:szCs w:val="31"/>
          <w:shd w:val="clear" w:fill="FFFFFF"/>
          <w:lang w:val="en-US" w:eastAsia="zh-CN" w:bidi="ar"/>
        </w:rPr>
        <w:t>并解除所有有效合同后，</w:t>
      </w:r>
      <w:r>
        <w:rPr>
          <w:rFonts w:hint="eastAsia" w:ascii="仿宋_GB2312" w:hAnsi="Times New Roman" w:eastAsia="仿宋_GB2312" w:cs="仿宋_GB2312"/>
          <w:kern w:val="2"/>
          <w:sz w:val="32"/>
          <w:szCs w:val="32"/>
          <w:shd w:val="clear" w:fill="FFFFFF"/>
          <w:lang w:val="en-US" w:eastAsia="zh-CN" w:bidi="ar"/>
        </w:rPr>
        <w:t>可受理撤网；</w:t>
      </w:r>
    </w:p>
    <w:p w14:paraId="1926A9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60" w:lineRule="atLeast"/>
        <w:ind w:left="0" w:right="0" w:firstLine="646"/>
        <w:jc w:val="both"/>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2.平台挂网满2年，无实际采购交易记录，经生产企业主动申请，可受理撤网；</w:t>
      </w:r>
    </w:p>
    <w:p w14:paraId="6EF27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60" w:lineRule="atLeast"/>
        <w:ind w:left="0" w:right="0" w:firstLine="646"/>
        <w:jc w:val="both"/>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3.企业不配合价格风险处置、医疗价格和招采失信约束措施等监管要求，且市场竞争充分、供应稳定的，给予撤网处理；</w:t>
      </w:r>
    </w:p>
    <w:p w14:paraId="1C65D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60" w:lineRule="atLeast"/>
        <w:ind w:left="0" w:right="0" w:firstLine="646"/>
        <w:jc w:val="both"/>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4.因质量问题、不良反应等原因，药监部门要求不再销售或建议撤销挂网的，给予撤网处理；</w:t>
      </w:r>
    </w:p>
    <w:p w14:paraId="51086D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60" w:lineRule="atLeast"/>
        <w:ind w:left="0" w:right="0" w:firstLine="646"/>
        <w:jc w:val="both"/>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5.应予以撤销挂网的其他情形。</w:t>
      </w:r>
    </w:p>
    <w:p w14:paraId="551E462F">
      <w:pPr>
        <w:pStyle w:val="6"/>
        <w:keepNext w:val="0"/>
        <w:keepLines w:val="0"/>
        <w:widowControl/>
        <w:suppressLineNumbers w:val="0"/>
        <w:snapToGrid w:val="0"/>
        <w:spacing w:line="560" w:lineRule="atLeast"/>
        <w:ind w:left="0" w:firstLine="640" w:firstLineChars="200"/>
        <w:rPr>
          <w:rFonts w:hint="eastAsia" w:ascii="方正仿宋简体" w:hAnsi="方正仿宋简体" w:eastAsia="方正仿宋简体" w:cs="Times New Roman"/>
          <w:color w:val="000000"/>
          <w:sz w:val="24"/>
          <w:szCs w:val="24"/>
        </w:rPr>
      </w:pPr>
      <w:r>
        <w:rPr>
          <w:rFonts w:hint="eastAsia" w:ascii="仿宋_GB2312" w:eastAsia="仿宋_GB2312" w:cs="仿宋_GB2312"/>
          <w:kern w:val="2"/>
          <w:sz w:val="32"/>
          <w:szCs w:val="32"/>
        </w:rPr>
        <w:t>撤销挂网医用耗材申请恢复挂网的，企业申报价格不高于原挂网价格，且符合当期挂网规定的可恢复挂网。高于原挂网价格的，撤网满2年后可予受理。</w:t>
      </w:r>
    </w:p>
    <w:p w14:paraId="5B722C95">
      <w:pPr>
        <w:keepNext w:val="0"/>
        <w:keepLines w:val="0"/>
        <w:widowControl w:val="0"/>
        <w:suppressLineNumbers w:val="0"/>
        <w:snapToGrid w:val="0"/>
        <w:spacing w:before="0" w:beforeAutospacing="0" w:after="0" w:afterAutospacing="0" w:line="560" w:lineRule="atLeast"/>
        <w:ind w:left="0" w:right="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 xml:space="preserve">   </w:t>
      </w:r>
    </w:p>
    <w:p w14:paraId="7AE4190A">
      <w:pPr>
        <w:keepNext w:val="0"/>
        <w:keepLines w:val="0"/>
        <w:widowControl w:val="0"/>
        <w:suppressLineNumbers w:val="0"/>
        <w:snapToGrid w:val="0"/>
        <w:spacing w:before="0" w:beforeAutospacing="0" w:after="0" w:afterAutospacing="0" w:line="560" w:lineRule="atLeast"/>
        <w:ind w:left="0" w:right="0"/>
        <w:jc w:val="center"/>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第六部分  附则</w:t>
      </w:r>
    </w:p>
    <w:p w14:paraId="6978CA04">
      <w:pPr>
        <w:keepNext w:val="0"/>
        <w:keepLines w:val="0"/>
        <w:widowControl w:val="0"/>
        <w:suppressLineNumbers w:val="0"/>
        <w:snapToGrid w:val="0"/>
        <w:spacing w:before="0" w:beforeAutospacing="0" w:after="0" w:afterAutospacing="0" w:line="560" w:lineRule="atLeast"/>
        <w:ind w:left="0" w:right="0" w:firstLine="64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一、医用耗材挂网采购工作所有公告、通知、信息均通过平台发布。医用耗材挂网采购材料申报采取网上申报的方式，不接受纸质材料。</w:t>
      </w:r>
    </w:p>
    <w:p w14:paraId="082085C6">
      <w:pPr>
        <w:keepNext w:val="0"/>
        <w:keepLines w:val="0"/>
        <w:widowControl w:val="0"/>
        <w:suppressLineNumbers w:val="0"/>
        <w:snapToGrid w:val="0"/>
        <w:spacing w:before="0" w:beforeAutospacing="0" w:after="0" w:afterAutospacing="0" w:line="560" w:lineRule="atLeast"/>
        <w:ind w:left="0" w:right="0" w:firstLine="64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二、生产企业对所申报材料的真实性、合法性由企业自行负责，接受社会监督。</w:t>
      </w:r>
    </w:p>
    <w:p w14:paraId="78F44A3E">
      <w:pPr>
        <w:keepNext w:val="0"/>
        <w:keepLines w:val="0"/>
        <w:widowControl w:val="0"/>
        <w:suppressLineNumbers w:val="0"/>
        <w:snapToGrid w:val="0"/>
        <w:spacing w:before="0" w:beforeAutospacing="0" w:after="0" w:afterAutospacing="0" w:line="560" w:lineRule="atLeast"/>
        <w:ind w:left="0" w:right="0" w:firstLine="64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三、采购周期中如遇国家和我区相关政策调整，执行相应政策。</w:t>
      </w:r>
    </w:p>
    <w:p w14:paraId="33828068">
      <w:pPr>
        <w:keepNext w:val="0"/>
        <w:keepLines w:val="0"/>
        <w:widowControl w:val="0"/>
        <w:suppressLineNumbers w:val="0"/>
        <w:snapToGrid w:val="0"/>
        <w:spacing w:before="0" w:beforeAutospacing="0" w:after="0" w:afterAutospacing="0" w:line="560" w:lineRule="atLeast"/>
        <w:ind w:left="0" w:right="0" w:firstLine="64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四、体外诊断试剂挂网依据本方案参照执行。</w:t>
      </w:r>
    </w:p>
    <w:p w14:paraId="66AD1797">
      <w:pPr>
        <w:keepNext w:val="0"/>
        <w:keepLines w:val="0"/>
        <w:widowControl w:val="0"/>
        <w:suppressLineNumbers w:val="0"/>
        <w:snapToGrid w:val="0"/>
        <w:spacing w:before="0" w:beforeAutospacing="0" w:after="0" w:afterAutospacing="0" w:line="560" w:lineRule="atLeast"/>
        <w:ind w:left="0" w:right="0" w:firstLine="64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32"/>
          <w:szCs w:val="32"/>
          <w:lang w:val="en-US" w:eastAsia="zh-CN" w:bidi="ar"/>
        </w:rPr>
        <w:t>五、本方案自发布之日起实施，《自治区公立医疗机构医用耗材阳光挂网采购实施方案》（宁医保发〔2021〕86号）自发布之日起废止。未尽事宜将适时发布补充、更正公告和相关文件规定。</w:t>
      </w:r>
    </w:p>
    <w:p w14:paraId="725AE115"/>
    <w:p w14:paraId="7A2D5C3D">
      <w:pPr>
        <w:spacing w:line="300" w:lineRule="exact"/>
        <w:ind w:firstLine="640" w:firstLineChars="200"/>
        <w:rPr>
          <w:rFonts w:ascii="方正仿宋_GBK" w:hAnsi="华文仿宋" w:eastAsia="方正仿宋_GBK"/>
          <w:sz w:val="32"/>
          <w:szCs w:val="32"/>
        </w:rPr>
      </w:pPr>
    </w:p>
    <w:p w14:paraId="5046441B"/>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35A21"/>
    <w:rsid w:val="3B013DDA"/>
    <w:rsid w:val="7183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3">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customStyle="1" w:styleId="6">
    <w:name w:val="UserStyle_0"/>
    <w:basedOn w:val="1"/>
    <w:qFormat/>
    <w:uiPriority w:val="0"/>
    <w:pPr>
      <w:widowControl/>
      <w:spacing w:before="0" w:beforeAutospacing="0" w:after="0" w:afterAutospacing="0"/>
      <w:ind w:left="0" w:right="0"/>
      <w:jc w:val="left"/>
      <w:textAlignment w:val="baseline"/>
    </w:pPr>
    <w:rPr>
      <w:rFonts w:hint="eastAsia" w:ascii="方正仿宋简体" w:hAnsi="方正仿宋简体" w:eastAsia="方正仿宋简体"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2026-04-07T06:41:00Z</dcterms:created>
  <dc:creator>信息安全头等舱</dc:creator>
  <cp:lastModifiedBy>信息安全头等舱</cp:lastModifiedBy>
  <dcterms:modified xsi:type="dcterms:W3CDTF">2026-04-07T06:42:48Z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D05BB25F9C814A4FA15B6AD398918973_11</vt:lpwstr>
  </property>
  <property fmtid="{D5CDD505-2E9C-101B-9397-08002B2CF9AE}" pid="4" name="KSOTemplateDocerSaveRecord">
    <vt:lpwstr>eyJoZGlkIjoiYjdiOWIwODAzNGE0YzE3MjdiNGEyYzgxY2Q2YzExNmIiLCJ1c2VySWQiOiIxNjgyNTIxNTI5In0=</vt:lpwstr>
  </property>
</Properties>
</file>